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8F" w:rsidRPr="000A044F" w:rsidRDefault="00F20A8F" w:rsidP="00F20A8F">
      <w:pPr>
        <w:jc w:val="center"/>
        <w:rPr>
          <w:sz w:val="28"/>
          <w:szCs w:val="28"/>
          <w:vertAlign w:val="baseline"/>
        </w:rPr>
      </w:pPr>
      <w:r w:rsidRPr="000A044F">
        <w:rPr>
          <w:sz w:val="28"/>
          <w:szCs w:val="28"/>
          <w:vertAlign w:val="baseline"/>
        </w:rPr>
        <w:t>"Өсімдіктердің популяциялық генетикасы" курсы бойынша дәрістердің қысқаша мазмұны</w:t>
      </w:r>
    </w:p>
    <w:p w:rsidR="00F20A8F" w:rsidRPr="000A044F" w:rsidRDefault="00F20A8F" w:rsidP="00F20A8F">
      <w:pPr>
        <w:jc w:val="center"/>
        <w:rPr>
          <w:sz w:val="28"/>
          <w:szCs w:val="28"/>
          <w:vertAlign w:val="baseline"/>
        </w:rPr>
      </w:pPr>
      <w:r w:rsidRPr="000A044F">
        <w:rPr>
          <w:sz w:val="28"/>
          <w:szCs w:val="28"/>
          <w:vertAlign w:val="baseline"/>
        </w:rPr>
        <w:t>1-дәріс</w:t>
      </w:r>
    </w:p>
    <w:p w:rsidR="00F20A8F" w:rsidRPr="00F65E73" w:rsidRDefault="00F20A8F" w:rsidP="00F20A8F">
      <w:pPr>
        <w:jc w:val="center"/>
        <w:rPr>
          <w:b w:val="0"/>
          <w:sz w:val="28"/>
          <w:szCs w:val="28"/>
          <w:vertAlign w:val="baseline"/>
        </w:rPr>
      </w:pPr>
      <w:r w:rsidRPr="00F65E73">
        <w:rPr>
          <w:b w:val="0"/>
          <w:sz w:val="28"/>
          <w:szCs w:val="28"/>
          <w:vertAlign w:val="baseline"/>
        </w:rPr>
        <w:t>Кіріспе. Өсімдіктер популяциясы генетикасының құрылымы, отандық және шетелдік ғалымдардың еңбектерімен, ғылыми жұмыстарының нәтижелері</w:t>
      </w:r>
    </w:p>
    <w:p w:rsidR="00F20A8F" w:rsidRPr="00F65E73" w:rsidRDefault="00F20A8F" w:rsidP="00F20A8F">
      <w:pPr>
        <w:jc w:val="both"/>
        <w:rPr>
          <w:b w:val="0"/>
          <w:sz w:val="28"/>
          <w:szCs w:val="28"/>
          <w:vertAlign w:val="baseline"/>
        </w:rPr>
      </w:pPr>
      <w:r w:rsidRPr="00F65E73">
        <w:rPr>
          <w:b w:val="0"/>
          <w:sz w:val="28"/>
          <w:szCs w:val="28"/>
          <w:vertAlign w:val="baseline"/>
        </w:rPr>
        <w:t xml:space="preserve"> "Өсімдіктердің популяциялық генетикасы" курсының сипаттамасына арналған. Дәріс ғылыми қауымдастықтағы популяция генетикасын әртүрлі түсіндіруге байланысты курс, глоссарий және анықтамалар бойынша қажетті ақпаратты береді. Дәріс сонымен қатар популяция генетикасының даму тарихына және ғылымның осы саласына үлес қосқан тұлғаларға арналған. Дәрістердің едәуір бөлігі өсімдіктер эволюциясы процестеріне, өсімдіктер популяциясының құрылымына қатысты зерттеулердің маңыздылығын түсінуге және бүкіл әлемде жүргізіліп жатқан өсімдіктерді сақтауға бағытталған Дүниежүзілік күш-жігерге арналады. Курстың теориялық және практикалық құндылығы дәріс соңында талқыланады. Соңында, ұсынылған курсты жан-жақты түсіну үшін тиісті ғылыми әдебиеттер ұсынылады. </w:t>
      </w:r>
    </w:p>
    <w:p w:rsidR="00F20A8F" w:rsidRPr="00F65E73" w:rsidRDefault="00F20A8F" w:rsidP="00F20A8F">
      <w:pPr>
        <w:jc w:val="both"/>
        <w:rPr>
          <w:b w:val="0"/>
          <w:sz w:val="28"/>
          <w:szCs w:val="28"/>
          <w:vertAlign w:val="baseline"/>
        </w:rPr>
      </w:pPr>
    </w:p>
    <w:p w:rsidR="00F20A8F" w:rsidRPr="00F65E73" w:rsidRDefault="00F20A8F" w:rsidP="00F20A8F">
      <w:pPr>
        <w:jc w:val="center"/>
        <w:rPr>
          <w:sz w:val="28"/>
          <w:szCs w:val="28"/>
          <w:vertAlign w:val="baseline"/>
        </w:rPr>
      </w:pPr>
      <w:r w:rsidRPr="00F65E73">
        <w:rPr>
          <w:sz w:val="28"/>
          <w:szCs w:val="28"/>
          <w:vertAlign w:val="baseline"/>
        </w:rPr>
        <w:t>2-Дәріс</w:t>
      </w:r>
    </w:p>
    <w:p w:rsidR="00F20A8F" w:rsidRPr="00F65E73" w:rsidRDefault="00F20A8F" w:rsidP="00F20A8F">
      <w:pPr>
        <w:jc w:val="center"/>
        <w:rPr>
          <w:sz w:val="28"/>
          <w:szCs w:val="28"/>
          <w:vertAlign w:val="baseline"/>
        </w:rPr>
      </w:pPr>
      <w:r w:rsidRPr="00F65E73">
        <w:rPr>
          <w:sz w:val="28"/>
          <w:szCs w:val="28"/>
          <w:vertAlign w:val="baseline"/>
        </w:rPr>
        <w:t>Будандастырудың рөлі, өсімдіктердің спецификациясы.</w:t>
      </w:r>
    </w:p>
    <w:p w:rsidR="00F20A8F" w:rsidRPr="00F65E73" w:rsidRDefault="00F20A8F" w:rsidP="00F20A8F">
      <w:pPr>
        <w:jc w:val="both"/>
        <w:rPr>
          <w:b w:val="0"/>
          <w:sz w:val="28"/>
          <w:szCs w:val="28"/>
          <w:vertAlign w:val="baseline"/>
        </w:rPr>
      </w:pPr>
      <w:r w:rsidRPr="00F65E73">
        <w:rPr>
          <w:b w:val="0"/>
          <w:sz w:val="28"/>
          <w:szCs w:val="28"/>
          <w:vertAlign w:val="baseline"/>
        </w:rPr>
        <w:t xml:space="preserve"> Өсімдіктердің спецификациясы дәріс эволюцияның негізгі қозғаушы күштеріне, соның ішінде жасанды сұрыптауға, мутацияға, көші-қонға, генетикалық дрейфке және кездейсоқ емес жұптасуға бағытталған. Бұл күштердің әрқайсысы анықталады және осы оқиғалардың эволюциялық жолға қосқан үлесі талқыланады. Өсімдік түрлерінің спецификациясы гендік спецификация процестерімен салыстырғанда талқыланады. Сонымен қатар, өсімдіктердің спецификациясының заңдылықтары байқалады және организмдердің басқа түрлеріндегі спецификация аясында нақты сәттер талданады. Спецификацияның кейбір түрлері жануарларға қарағанда өсімдіктерде жиі кездесетіні белгілі (мысалы. симпатикалық спецификация, будандастыру және полиплоидия). Дәріс соңында жалпы дрейф және тар жолдар сияқты кейбір спецификация факторлары талқыланады. </w:t>
      </w:r>
    </w:p>
    <w:p w:rsidR="00F20A8F" w:rsidRPr="00F65E73" w:rsidRDefault="00F20A8F" w:rsidP="00F20A8F">
      <w:pPr>
        <w:jc w:val="both"/>
        <w:rPr>
          <w:b w:val="0"/>
          <w:sz w:val="28"/>
          <w:szCs w:val="28"/>
          <w:vertAlign w:val="baseline"/>
        </w:rPr>
      </w:pPr>
    </w:p>
    <w:p w:rsidR="000A044F" w:rsidRDefault="00F20A8F" w:rsidP="00F65E73">
      <w:pPr>
        <w:jc w:val="center"/>
        <w:rPr>
          <w:b w:val="0"/>
          <w:sz w:val="28"/>
          <w:szCs w:val="28"/>
          <w:vertAlign w:val="baseline"/>
        </w:rPr>
      </w:pPr>
      <w:r w:rsidRPr="00F65E73">
        <w:rPr>
          <w:sz w:val="28"/>
          <w:szCs w:val="28"/>
          <w:vertAlign w:val="baseline"/>
        </w:rPr>
        <w:t>3 дәріс.</w:t>
      </w:r>
      <w:r w:rsidRPr="00F65E73">
        <w:rPr>
          <w:b w:val="0"/>
          <w:sz w:val="28"/>
          <w:szCs w:val="28"/>
          <w:vertAlign w:val="baseline"/>
        </w:rPr>
        <w:t xml:space="preserve"> </w:t>
      </w:r>
    </w:p>
    <w:p w:rsidR="00F20A8F" w:rsidRPr="00F65E73" w:rsidRDefault="00F20A8F" w:rsidP="00F65E73">
      <w:pPr>
        <w:jc w:val="center"/>
        <w:rPr>
          <w:sz w:val="28"/>
          <w:szCs w:val="28"/>
        </w:rPr>
      </w:pPr>
      <w:r w:rsidRPr="00F65E73">
        <w:rPr>
          <w:sz w:val="28"/>
          <w:szCs w:val="28"/>
          <w:vertAlign w:val="baseline"/>
        </w:rPr>
        <w:t>Қоңыржай өсімдік жамылғысы жапырақты ормандардың биомасасы.</w:t>
      </w:r>
    </w:p>
    <w:p w:rsidR="00F20A8F" w:rsidRPr="00F65E73" w:rsidRDefault="00F20A8F" w:rsidP="00F20A8F">
      <w:pPr>
        <w:jc w:val="both"/>
        <w:rPr>
          <w:b w:val="0"/>
          <w:sz w:val="28"/>
          <w:szCs w:val="28"/>
          <w:vertAlign w:val="baseline"/>
        </w:rPr>
      </w:pPr>
      <w:r w:rsidRPr="00F65E73">
        <w:rPr>
          <w:b w:val="0"/>
          <w:sz w:val="28"/>
          <w:szCs w:val="28"/>
          <w:vertAlign w:val="baseline"/>
        </w:rPr>
        <w:t xml:space="preserve">Дәріс популяция деңгейінде өзгерісті зерттеу үшін іріктеудің әдіснамалық талаптарына негізделген популяцияны ботаникалық бағалауға арналған. </w:t>
      </w:r>
      <w:r w:rsidRPr="00F65E73">
        <w:rPr>
          <w:b w:val="0"/>
          <w:sz w:val="28"/>
          <w:szCs w:val="28"/>
          <w:vertAlign w:val="baseline"/>
        </w:rPr>
        <w:lastRenderedPageBreak/>
        <w:t xml:space="preserve">Магистранттар популяцияны зерттеудің негізгі аспектілерін, соның ішінде іріктеу стратегиясын, қоршаған ортаны сипаттауды, өсімдіктер қауымдастығын және гербарий үлгілерін әзірлеуді зерттейді. Өсімдіктерді бағалау үш топта жүргізіледі: шөптер, бұталар және ағаштар. Сонымен қатар, өсімдіктер мен өсімдіктер қауымдастығының морфологиялық талдауының заңдылықтары келтірілген. Өсімдіктер қауымдастығының сандық және сапалық мәртебесін, өсімдіктер популяциясының жасын және өсімдіктердің өсу жағдайларының экологиялық-географиялық ерекшеліктерін қоса алғанда, өсімдік түрлерін геоботаникалық бағалауға ерекше назар аударылады. </w:t>
      </w:r>
    </w:p>
    <w:p w:rsidR="000A044F" w:rsidRDefault="000A044F" w:rsidP="00F20A8F">
      <w:pPr>
        <w:jc w:val="center"/>
        <w:rPr>
          <w:sz w:val="28"/>
          <w:szCs w:val="28"/>
          <w:vertAlign w:val="baseline"/>
        </w:rPr>
      </w:pPr>
      <w:r w:rsidRPr="000A044F">
        <w:rPr>
          <w:sz w:val="28"/>
          <w:szCs w:val="28"/>
          <w:vertAlign w:val="baseline"/>
        </w:rPr>
        <w:t>4- дәріс</w:t>
      </w:r>
      <w:r>
        <w:rPr>
          <w:b w:val="0"/>
          <w:sz w:val="28"/>
          <w:szCs w:val="28"/>
          <w:vertAlign w:val="baseline"/>
        </w:rPr>
        <w:t xml:space="preserve"> </w:t>
      </w:r>
    </w:p>
    <w:p w:rsidR="00F20A8F" w:rsidRPr="00F65E73" w:rsidRDefault="00F20A8F" w:rsidP="00F20A8F">
      <w:pPr>
        <w:jc w:val="center"/>
        <w:rPr>
          <w:b w:val="0"/>
          <w:sz w:val="28"/>
          <w:szCs w:val="28"/>
          <w:vertAlign w:val="baseline"/>
        </w:rPr>
      </w:pPr>
      <w:r w:rsidRPr="00F65E73">
        <w:rPr>
          <w:sz w:val="28"/>
          <w:szCs w:val="28"/>
          <w:vertAlign w:val="baseline"/>
        </w:rPr>
        <w:t>Өсімдік таксономиясы</w:t>
      </w:r>
    </w:p>
    <w:p w:rsidR="00F20A8F" w:rsidRPr="00F65E73" w:rsidRDefault="00F20A8F" w:rsidP="00F20A8F">
      <w:pPr>
        <w:jc w:val="both"/>
        <w:rPr>
          <w:b w:val="0"/>
          <w:sz w:val="28"/>
          <w:szCs w:val="28"/>
          <w:vertAlign w:val="baseline"/>
        </w:rPr>
      </w:pPr>
      <w:r w:rsidRPr="00F65E73">
        <w:rPr>
          <w:b w:val="0"/>
          <w:sz w:val="28"/>
          <w:szCs w:val="28"/>
          <w:vertAlign w:val="baseline"/>
        </w:rPr>
        <w:t xml:space="preserve">Флораның әртүрлілігін ботаникалық бағалау. Жиналған өсімдік популяцияларын жан-жақты ботаникалық сипаттау үшін заманауи технологияларды қолдануға арналған. Заманауи технологиялар Ақпараттық жүйелер, ғарыштан жоғары ажыратымдылықтағы суреттер, ұшқышсыз ұшу аппараттары және күрделі бағдарламалық пакеттер сияқты геоботаникалық тәсілдерді қолдануды қамтиды. Атап айтқанда, елдің әртүрлі бөліктеріндегі белгілі бір өсімдіктер қауымдастығының геоботаникалық ерекшеліктерін бағалауда квадрокоптерлер сияқты ұшқышсыз және мобильді ұшақтарға көп көңіл бөлінеді. Өсімдіктер популяциясы мен түрлерінің морфологиялық сипаттамасына ерекше назар аудара отырып, әлемнің белгілі бір аймақтарының флорасына қатысты үлкен мәліметтер базасын әзірлеуге тағы бір басымдық беріледі. </w:t>
      </w:r>
    </w:p>
    <w:p w:rsidR="00F20A8F" w:rsidRPr="000A044F" w:rsidRDefault="00F20A8F" w:rsidP="00F20A8F">
      <w:pPr>
        <w:jc w:val="center"/>
        <w:rPr>
          <w:sz w:val="28"/>
          <w:szCs w:val="28"/>
          <w:vertAlign w:val="baseline"/>
        </w:rPr>
      </w:pPr>
      <w:r w:rsidRPr="000A044F">
        <w:rPr>
          <w:sz w:val="28"/>
          <w:szCs w:val="28"/>
          <w:vertAlign w:val="baseline"/>
        </w:rPr>
        <w:t>5 дәріс</w:t>
      </w:r>
    </w:p>
    <w:p w:rsidR="00F20A8F" w:rsidRPr="00F65E73" w:rsidRDefault="00F20A8F" w:rsidP="00F20A8F">
      <w:pPr>
        <w:jc w:val="center"/>
        <w:rPr>
          <w:b w:val="0"/>
          <w:sz w:val="28"/>
          <w:szCs w:val="28"/>
          <w:vertAlign w:val="baseline"/>
        </w:rPr>
      </w:pPr>
      <w:r w:rsidRPr="00F65E73">
        <w:rPr>
          <w:sz w:val="28"/>
          <w:szCs w:val="28"/>
          <w:vertAlign w:val="baseline"/>
        </w:rPr>
        <w:t>Қазақстанның өсімдіктер биоалуантүрлілігін сақтау және тиімді пайдалану жолдары.</w:t>
      </w:r>
    </w:p>
    <w:p w:rsidR="00F20A8F" w:rsidRDefault="00F20A8F" w:rsidP="00F20A8F">
      <w:pPr>
        <w:jc w:val="both"/>
        <w:rPr>
          <w:b w:val="0"/>
          <w:sz w:val="28"/>
          <w:szCs w:val="28"/>
          <w:vertAlign w:val="baseline"/>
        </w:rPr>
      </w:pPr>
      <w:r w:rsidRPr="00F65E73">
        <w:rPr>
          <w:b w:val="0"/>
          <w:sz w:val="28"/>
          <w:szCs w:val="28"/>
          <w:vertAlign w:val="baseline"/>
        </w:rPr>
        <w:t xml:space="preserve">Биологиялық әртүрлілік дәрістің мазмұны белгілі бір түрдегі даралар арасындағы әртүрлілікке (генетикалық әртүрлілік), экожүйедегі түрлердің әртүрлілігіне және жердегі экожүйелердің әртүрлілігіне байланысты болады. Жердегі тіршіліктің эволюциясы. Өсімдіктердің эволюциясы ең көне балдырлар төсеніштерінен, көпжасушалы теңіз және тұщы су жасыл балдырларынан, құрлықтағы бриофиттерден, ликоподиялардан және папоротниктерден бастап қазіргі кездегі күрделі гимноспермалар мен ангиоспермдерге дейін күрделі формалардың кең ауқымын тудырды. Көптеген алғашқы топтар теңіз ортасындағы қызыл және жасыл балдырлар мысал бола алатын өркендеуді жалғастыруда, ал одан кейінгі топтар бұрын экологиялық тұрғыдан басым болған топтардыесыстырды, мысалы, жердегі ортадағы гимноспермаларға қарағанда гүлді өсімдіктердің басым болуы. </w:t>
      </w:r>
    </w:p>
    <w:p w:rsidR="00F20A8F" w:rsidRPr="00F65E73" w:rsidRDefault="00F20A8F" w:rsidP="00F20A8F">
      <w:pPr>
        <w:jc w:val="center"/>
        <w:rPr>
          <w:sz w:val="28"/>
          <w:szCs w:val="28"/>
          <w:vertAlign w:val="baseline"/>
        </w:rPr>
      </w:pPr>
      <w:r w:rsidRPr="00F65E73">
        <w:rPr>
          <w:sz w:val="28"/>
          <w:szCs w:val="28"/>
          <w:vertAlign w:val="baseline"/>
        </w:rPr>
        <w:lastRenderedPageBreak/>
        <w:t>6 дәріс</w:t>
      </w:r>
    </w:p>
    <w:p w:rsidR="00F20A8F" w:rsidRPr="00F65E73" w:rsidRDefault="00F20A8F" w:rsidP="00F20A8F">
      <w:pPr>
        <w:jc w:val="center"/>
        <w:rPr>
          <w:sz w:val="28"/>
          <w:szCs w:val="28"/>
          <w:vertAlign w:val="baseline"/>
        </w:rPr>
      </w:pPr>
      <w:r w:rsidRPr="00F65E73">
        <w:rPr>
          <w:sz w:val="28"/>
          <w:szCs w:val="28"/>
          <w:vertAlign w:val="baseline"/>
        </w:rPr>
        <w:t>Әрбір таралу аймақтың индикаторлары және индикаторларды</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Индикативті байланыстар мен заңдылықтардың көпшілігі аймақтық сипатқа ие, яғни ол белгілі бір аймақтар тобында (немесе сирек, бір аймақта) көрінеді. Ч. 1 индикаторлардың бұл ерекшелігі олардың панареальды, аймақтық және жергілікті болып бөлінуіне әкелетінін атап өтті. Әрбір табиғи аймақ үшін арнайы геоботаникалық индикациялық зерттеулер жүргізу іс жүзінде мүмкін емес, өйткені ол үлкен өнімсіз шығындармен байланысты. Сондықтан индикаторлық деректерді экстраполяциялау міндеті туындайды, яғни. оларды зерттелген аумақтардан арнайы зерттеулерге ұшырамаған немесе олар үшін қолжетімсіз физика-географиялық жағдайлар бойынша ұқсас аумақтарға тарату. Экстраполяция екі негізгі көрсеткіш бойынша әртүрлі болуы мүмкін: диапазон және толықтық. Экстраполяция диапазоны бойынша Е. В. Виноградов индикатор анықталған аумақтан зерттеуші келмеген аудандарға таралуы мүмкін қашықтықты түсінеді. Ауқым дәрежесі бойынша ол экстраполяцияның бірқатар түрлерін ажыратады.</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1. Контурішілік экстраполяция, яғни индикатор мәнін ол анықталған сипаттама нүктелерінен берілген қауымдастықтың бүкіл контурына және сол фитоценоз алып жатқан жақын маңдағы учаскелерге тарату; бұл зерттелетін учаскеге жақын орналасқан бір ценоз учаскелерінің шекараларын белгілеу негізінде далалық индикациялық зерттеулер кезінде үнемі жүргізілетін қарапайым операция.</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2. Ландшафтішілік экстраполяция-белгілі бір ландшафттың ішінде жатқан белгілі бір қауымдастықтың барлық учаскелеріне индикатор мәнін кеңейту (және учаскелерді бір-бірінен алыстату маңызды болуы мүмкін); экстраполяцияның бұл түрі әдетте аэрофотосуреттердің шифрын ашу негізінде және сирек аумақты жер үсті немесе аэровизуалды барлау арқылы жүзеге асырылады.</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3. Аймақтық экстраполяция, яғни индикатор мәнін ол анықталған бір аймақтан азды-көпті ұқсас басқаларға тарату. Бұл жағдайда экстраполяция тек аналогтық ландшафттар арасында мүмкін болады, олардың ұқсастық дәрежесі зерттелген аймақтың және экстраполяция жасалуы керек аймақтардың физикалық-географиялық, ландшафттық, геоботаникалық және топырақ карталарын талдау арқылы, сондай-ақ әдеби деректерді пайдалану арқылы анықталады.</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 xml:space="preserve">4. Алыс экстраполяция, яғни индикатор мәнінің кейбір табиғи жағдайлардан басқаларына таралуы айтарлықтай ерекшеленеді (бір аймақтан екінші аймаққа немесе бір континенттен екінші континентке). Ол көптеген әдеби деректер мен </w:t>
      </w:r>
      <w:r w:rsidRPr="00F65E73">
        <w:rPr>
          <w:b w:val="0"/>
          <w:bCs/>
          <w:iCs/>
          <w:sz w:val="28"/>
          <w:szCs w:val="28"/>
          <w:vertAlign w:val="baseline"/>
        </w:rPr>
        <w:lastRenderedPageBreak/>
        <w:t>картографиялық материалдарды талдау негізінде жасалады. Экстраполяцияның бұл түрі әлі де өте сирек кездеседі.</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Экстраполяцияның сипатталған диапазондық классификациясы өсімдіктер қауымдастығына жиі қолданылады, бірақ оны жеке түрлер үшін де қолдануға болады. Екі жағдайда да біз белгілі бір индикаторларды экстраполяциялау туралы айтып отырмыз. Н. Н. Преображенская экстраполяцияны толықтығы бойынша бағалауды ұсынды. Экстраполяцияның толықтығы-бұл бір аймақтан екінші аймаққа индикативті-геоботаникалық заңдылықтардың барлық сомасын немесе олардың бір бөлігін ғана тарату мүмкіндігі. Осылайша, толықтығы жеке индикаторларға емес, белгілі бір табиғи аймақ шегінде олардың барлық жиынтығына қатысты синтетикалық сипаттама болып табылады. Бұл оның мазмұнымен диапазоннан ерекшеленеді. Қандай да бір аудан үшін индикациялық-геоботаникалық заңдылықтардың қосындысы, әдетте, өсімдік индикаторлары мен олар бойынша анықталатын индикаторларды тізімдейтін жиынтық кестемен көрсетіледі. Мұндай кесте индикациялық схема деп аталады (оларды құрастыру үшін 3-тарауды қараңыз). Индикацияның толықтығы, Н. Н.бойынша Преображенская, бір аудан үшін жасалған индикаторлық схеманы оның сыртында қаншалықты қолдануға болатындығымен бағаланады. Бұл жағдайда әр түрлі:</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а) схеманың бастапқы мәлімдемесінің аймағы (ол жасалған аймақ); б) схема өзінің мәнін толығымен сақтайтын рұқсат етілген экстраполяция ауданы; в) шартты экстраполяция ауданы, мұнда схеманың көп бөлігі өз мәнін сақтайды, бірақ индикациялық рөлін Жоғалтатын оның жеке элементтері бар; г) шекті шартты экстраполяция ауданы, мұнда схеманың көп бөлігі қолданылмайды және оның бірнеше бөлігі ғана өз мәнін сақтайды.</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Индикаторларды экстраполяциялау мәселесі индикаторлық геоботаникадағы ең күрделі мәселелердің бірі болып табылады. Ол әлі зерттелмеген. Оны шешу кезінде сақтау қажет кейбір шарттарға назар аудару қажет.</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1. Экстраполяциялық құрылыстарды жүзеге асыру кезінде экстраполяция нысанасын және оның мақсаттарын нақты айқындап, индикация объектісінің де, индикатордың да көлемінің өзгермейтіндігі қағидатын қатаң сақтау қажет. Сондықтан геоботаникалық индикаторларды экстраполяциялау мүмкіндігін зерттеу кезінде топырақты индикациялау, литоиндикация, гидроиндикация перспективаларын бір-бірінен тәуелсіз зерттеген жөн. Әр түрлі индикаторларға қатысты бір индикаторды бір уақытта кешенді бағалау әрекеттерін орындау қиын және жиі қателіктерге әкеледі. Бұл ойлар экстраполяцияның ауқымын да, толықтығын да бағалауға қатысты.</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 xml:space="preserve">2. Индикациялық схемалардың экстраполяциясының толықтығын анықтаған кезде индикациялық схемаларға кіретін бірлестіктер мен бірлестіктер </w:t>
      </w:r>
      <w:r w:rsidRPr="00F65E73">
        <w:rPr>
          <w:b w:val="0"/>
          <w:bCs/>
          <w:iCs/>
          <w:sz w:val="28"/>
          <w:szCs w:val="28"/>
          <w:vertAlign w:val="baseline"/>
        </w:rPr>
        <w:lastRenderedPageBreak/>
        <w:t>топтарының индикациялық мәнінің экстраполяция аудандары өте әртүрлі екенін есте ұстаған жөн. Бұл, ең алдымен, Ассоциация ауқымдарының әртүрлі өлшемдеріне байланысты. Кейбір жағдайларда қауымдастықтың ауқымы соншалықты аз, ол бастапқы мәлімдеме аймағында болуы мүмкін және осыған байланысты экстраполяция мүмкін емес. Диапазондардың әртүрлі бөліктерінде жиі кездесетін қауымдастықтар олардың экологиясы мен индикация объектісімен конъюгациясын өзгерте алады, бұл олардың ауқымдарының әртүрлі бөліктеріндегі түрлер экологиясының белгілі өзгерістерімен байланысты. Жалпы алғанда, түрдің экологиялық жағдайлармен байланысы біршама әлсірейді мен оның шекараларында ең айқын бола бастадым. Сондай-ақ, көптеген кең таралған түрлерде-биосистемалық зерттеулердің объектілері болып табылатын ұсақ түрішілік формалардың фитоценоздарының эдификаторларында бар деп санау керек. Бұл формалар қоршаған ортаға деген қарым-қатынасында белгілі айырмашылықтарға ие болуы мүмкін.</w:t>
      </w:r>
    </w:p>
    <w:p w:rsidR="00F65E73" w:rsidRPr="00F65E73" w:rsidRDefault="00F65E73" w:rsidP="00F65E73">
      <w:pPr>
        <w:jc w:val="both"/>
        <w:rPr>
          <w:b w:val="0"/>
          <w:bCs/>
          <w:iCs/>
          <w:sz w:val="28"/>
          <w:szCs w:val="28"/>
          <w:vertAlign w:val="baseline"/>
        </w:rPr>
      </w:pPr>
      <w:r w:rsidRPr="00F65E73">
        <w:rPr>
          <w:b w:val="0"/>
          <w:bCs/>
          <w:iCs/>
          <w:sz w:val="28"/>
          <w:szCs w:val="28"/>
          <w:vertAlign w:val="baseline"/>
        </w:rPr>
        <w:t>3. Экстраполяцияның толықтығы пайдаланылған индикатор бірліктері мен индикатор объектісі көлемдерінің арақатынасына қатты тәуелді. Индикатор неғұрлым нақты болса, оны неғұрлым көп сипаттамалармен анықтасақ, экстраполяция аудандарының өлшемдері соғұрлым аз болады. Индикатор бірліктерінің көлемінің өзгеруіне қатысты да осындай ережелер бар. Егер индикаторды да, индикатор объектісін де айтарлықтай жалпылау орын алса, экстраполяция жасау оңай. Сондықтан индикаторлық деректерді экстраполяциялау егжей - тегжейлі зерттеулерге қарағанда кішігірім және орташа масштабты зерттеулерде орынды.</w:t>
      </w:r>
    </w:p>
    <w:p w:rsidR="00F20A8F" w:rsidRPr="00F65E73" w:rsidRDefault="00F65E73" w:rsidP="00F65E73">
      <w:pPr>
        <w:jc w:val="both"/>
        <w:rPr>
          <w:b w:val="0"/>
          <w:sz w:val="28"/>
          <w:szCs w:val="28"/>
          <w:vertAlign w:val="baseline"/>
        </w:rPr>
      </w:pPr>
      <w:r w:rsidRPr="00F65E73">
        <w:rPr>
          <w:b w:val="0"/>
          <w:bCs/>
          <w:iCs/>
          <w:sz w:val="28"/>
          <w:szCs w:val="28"/>
          <w:vertAlign w:val="baseline"/>
        </w:rPr>
        <w:t xml:space="preserve">Экстраполяция кезінде индикативті геоботаника мен ландшафттық индикация арасындағы байланыстар ерекше көрінеді. Жоғарыда айтылғандай, ландшафт экстраполяция түрінің (ландшафтішілік экстраполяция) мүмкіндігін анықтайтын және оның басқа түрімен (аймақтық аналогтық ландшафттық экстраполяция) маңызды мәнге ие болатын көрсеткіштердің бірі болып табылады. Бірақ бұған қарамастан, экстраполяцияның барлық түрлері тек өсімдік индикаторлары ғана емес, сонымен қатар аумақтың сыртқы түрінің барлық басқа физиологиялық элементтері қолданылған жағдайларда толығымен жүзеге асырылады. Геоботаникалық, геоморфологиялық-" ческнх, антропогендік және кешенді ландшафт индикаторларын аймақтық және алыс экстраполяция кезінде бір-бірінен бөлу іс жүзінде мүмкін емес, тек контурішілік және ландшафтішілік экстраполяция тек өсімдік индикаторларын қолдануға мүмкіндік береді. Территорияның ландшафттық құрылымын талдау аймақтық және алыс экстраполяция мүмкіндіктерін олар жүзеге асырылғанға дейін алдын-ала анықтауға мүмкіндік береді. Бұл аналогтық ландшафт карталарын алдын ала дайындаумен қамтамасыз етіледі. Мұндай карталарды жасау аэрофотосуреттермен және космофотосуреттермен </w:t>
      </w:r>
      <w:r w:rsidRPr="00F65E73">
        <w:rPr>
          <w:b w:val="0"/>
          <w:bCs/>
          <w:iCs/>
          <w:sz w:val="28"/>
          <w:szCs w:val="28"/>
          <w:vertAlign w:val="baseline"/>
        </w:rPr>
        <w:lastRenderedPageBreak/>
        <w:t>жеткізілетін ақпаратты кеңінен пайдалана отырып жүргізіледі. Бұл жағдайда жер бетінің аумақтық бөлінген учаскелеріндегі аэрофотосуреттің ұқсастығына үлкен мән беріледі</w:t>
      </w:r>
    </w:p>
    <w:p w:rsidR="00F20A8F" w:rsidRPr="00F65E73" w:rsidRDefault="00F20A8F" w:rsidP="00F65E73">
      <w:pPr>
        <w:jc w:val="center"/>
        <w:rPr>
          <w:sz w:val="28"/>
          <w:szCs w:val="28"/>
          <w:vertAlign w:val="baseline"/>
        </w:rPr>
      </w:pPr>
      <w:r w:rsidRPr="00F65E73">
        <w:rPr>
          <w:sz w:val="28"/>
          <w:szCs w:val="28"/>
          <w:vertAlign w:val="baseline"/>
        </w:rPr>
        <w:t>7-дәріс</w:t>
      </w:r>
    </w:p>
    <w:p w:rsidR="00F65E73" w:rsidRDefault="00F20A8F" w:rsidP="00F65E73">
      <w:pPr>
        <w:jc w:val="center"/>
        <w:rPr>
          <w:b w:val="0"/>
          <w:sz w:val="28"/>
          <w:szCs w:val="28"/>
          <w:vertAlign w:val="baseline"/>
        </w:rPr>
      </w:pPr>
      <w:r w:rsidRPr="00F65E73">
        <w:rPr>
          <w:sz w:val="28"/>
          <w:szCs w:val="28"/>
          <w:vertAlign w:val="baseline"/>
        </w:rPr>
        <w:t>Өсімдіктер генетикасын талдаудағы ДНҚ  құрылымын зерттеудің  маңыздылығы</w:t>
      </w:r>
    </w:p>
    <w:p w:rsidR="00F20A8F" w:rsidRPr="00F65E73" w:rsidRDefault="00F65E73" w:rsidP="00F20A8F">
      <w:pPr>
        <w:jc w:val="both"/>
        <w:rPr>
          <w:b w:val="0"/>
          <w:sz w:val="28"/>
          <w:szCs w:val="28"/>
          <w:vertAlign w:val="baseline"/>
        </w:rPr>
      </w:pPr>
      <w:r>
        <w:rPr>
          <w:b w:val="0"/>
          <w:sz w:val="28"/>
          <w:szCs w:val="28"/>
          <w:vertAlign w:val="baseline"/>
        </w:rPr>
        <w:t>К</w:t>
      </w:r>
      <w:r w:rsidR="00F20A8F" w:rsidRPr="00F65E73">
        <w:rPr>
          <w:b w:val="0"/>
          <w:sz w:val="28"/>
          <w:szCs w:val="28"/>
          <w:vertAlign w:val="baseline"/>
        </w:rPr>
        <w:t xml:space="preserve">урста ДНҚ-ны зерттеудің маңыздылығы өсімдік популяциясының генетикасында ДНҚ құралдарын қолдануды түсіндіреді. Дәріс ДНҚ-ны талдаудың әртүрлі әдістері, соның ішінде ДНҚ-ны алу, көбейту және модификациялау туралы қажетті ақпаратты ұсынады. Дәрістің бірінші бөлімі ДНҚ-ны алу, тазарту және сандық анықтау туралы болады. Полимеразды тізбекті реакция сияқты негізгі технологиялар талқыланады. Атап айтқанда, дәрістің көп бөлігі ПТР оңтайландыру бөлшектерін, соның ішінде күйдіру температурасы, Mg+ концентрациясы және реакциядағы циклдар саны сияқты қадамдарды талқылауға арналған. ПТР-дің әртүрлі түрлері, соның ішінде нақты уақыттағы ПТР үлгілері талқыланады. Сондай-ақ, ДНҚ секвенирлеу тәсілдерінің маңыздылығына баға беріледі, өсімдік популяцияларының генетикасын ескере отырып, ДНҚ әдістерін қолдану туралы ақпарат беріледі. </w:t>
      </w:r>
    </w:p>
    <w:p w:rsidR="00F20A8F" w:rsidRPr="000A044F" w:rsidRDefault="00F20A8F" w:rsidP="00F20A8F">
      <w:pPr>
        <w:jc w:val="center"/>
        <w:rPr>
          <w:sz w:val="28"/>
          <w:szCs w:val="28"/>
          <w:vertAlign w:val="baseline"/>
        </w:rPr>
      </w:pPr>
      <w:r w:rsidRPr="000A044F">
        <w:rPr>
          <w:sz w:val="28"/>
          <w:szCs w:val="28"/>
          <w:vertAlign w:val="baseline"/>
        </w:rPr>
        <w:t>8 Дәріс.</w:t>
      </w:r>
    </w:p>
    <w:p w:rsidR="00F20A8F" w:rsidRPr="00F65E73" w:rsidRDefault="00F20A8F" w:rsidP="00F20A8F">
      <w:pPr>
        <w:jc w:val="center"/>
        <w:rPr>
          <w:sz w:val="28"/>
          <w:szCs w:val="28"/>
          <w:vertAlign w:val="baseline"/>
        </w:rPr>
      </w:pPr>
      <w:r w:rsidRPr="00F65E73">
        <w:rPr>
          <w:sz w:val="28"/>
          <w:szCs w:val="28"/>
          <w:vertAlign w:val="baseline"/>
        </w:rPr>
        <w:t>Өсімдіктердің молекулалық таксономиясына түсінік, практикалық құндылығы</w:t>
      </w:r>
    </w:p>
    <w:p w:rsidR="00F20A8F" w:rsidRPr="00F65E73" w:rsidRDefault="00F20A8F" w:rsidP="00F20A8F">
      <w:pPr>
        <w:jc w:val="both"/>
        <w:rPr>
          <w:b w:val="0"/>
          <w:sz w:val="28"/>
          <w:szCs w:val="28"/>
          <w:vertAlign w:val="baseline"/>
        </w:rPr>
      </w:pPr>
      <w:r w:rsidRPr="00F65E73">
        <w:rPr>
          <w:b w:val="0"/>
          <w:sz w:val="28"/>
          <w:szCs w:val="28"/>
          <w:vertAlign w:val="baseline"/>
        </w:rPr>
        <w:t xml:space="preserve">Өсімдіктердің молекулалық таксономиясы дәріс өсімдік таксономиясында полиморфты ДНҚ маркерлерін қолдануға арналған. Дәрістің жеке бөлігі ДНҚ штрих-кодтау технологиясына арналады. Бұл талқылау ДНҚ штрихкодтау мен таксономия арасындағы айырмашылықты түсінуге, ядролық және хлоропласт геномдарындағы маркерлердің әртүрлі түрлерін түсіндіруге көмектеседі. Сонымен қатар, өсімдіктердің молекулалық таксономиясының негізгі принциптері талқыланады, табысты зерттеулердегі маңызды тенденциялар бағаланады. Сонымен қатар, филогенетикалық ағаштарды құру үшін әртүрлі статистикалық әдістер қолданылады. Бұл бөлік жою мен белгілерге негізделген кладограммаларды құру әдістерін бағалаумен байланысты болады. UPGMA, көршілерді біріктіру және максималды сенімділік сияқты нақты әдістер салыстырылады. </w:t>
      </w:r>
    </w:p>
    <w:p w:rsidR="00F20A8F" w:rsidRPr="000A044F" w:rsidRDefault="00F20A8F" w:rsidP="00F65E73">
      <w:pPr>
        <w:jc w:val="center"/>
        <w:rPr>
          <w:sz w:val="28"/>
          <w:szCs w:val="28"/>
          <w:vertAlign w:val="baseline"/>
        </w:rPr>
      </w:pPr>
      <w:r w:rsidRPr="000A044F">
        <w:rPr>
          <w:sz w:val="28"/>
          <w:szCs w:val="28"/>
          <w:vertAlign w:val="baseline"/>
        </w:rPr>
        <w:t>9 дәріс</w:t>
      </w:r>
    </w:p>
    <w:p w:rsidR="00F20A8F" w:rsidRDefault="00F20A8F" w:rsidP="00F65E73">
      <w:pPr>
        <w:tabs>
          <w:tab w:val="left" w:pos="1276"/>
        </w:tabs>
        <w:jc w:val="center"/>
        <w:rPr>
          <w:sz w:val="28"/>
          <w:szCs w:val="28"/>
          <w:vertAlign w:val="baseline"/>
        </w:rPr>
      </w:pPr>
      <w:r w:rsidRPr="00F65E73">
        <w:rPr>
          <w:sz w:val="28"/>
          <w:szCs w:val="28"/>
          <w:vertAlign w:val="baseline"/>
        </w:rPr>
        <w:t>ДНҚ экстракциясы жинағын талдау, өсімдіктер генетикасындағы рөлі</w:t>
      </w:r>
    </w:p>
    <w:p w:rsidR="00E42698" w:rsidRPr="00F65E73" w:rsidRDefault="00F65E73" w:rsidP="00E42698">
      <w:pPr>
        <w:tabs>
          <w:tab w:val="left" w:pos="1276"/>
        </w:tabs>
        <w:jc w:val="both"/>
        <w:rPr>
          <w:b w:val="0"/>
          <w:sz w:val="28"/>
          <w:szCs w:val="28"/>
          <w:vertAlign w:val="baseline"/>
        </w:rPr>
      </w:pPr>
      <w:r w:rsidRPr="00F65E73">
        <w:rPr>
          <w:b w:val="0"/>
          <w:sz w:val="28"/>
          <w:szCs w:val="28"/>
          <w:vertAlign w:val="baseline"/>
        </w:rPr>
        <w:t xml:space="preserve">Биоматериалды өңдеу және ДНҚ секрециясы молекулалық биологиялық зерттеудің бірінші кезеңі болып табылады. Генетикалық материал жойылатын </w:t>
      </w:r>
      <w:r w:rsidRPr="00F65E73">
        <w:rPr>
          <w:b w:val="0"/>
          <w:sz w:val="28"/>
          <w:szCs w:val="28"/>
          <w:vertAlign w:val="baseline"/>
        </w:rPr>
        <w:lastRenderedPageBreak/>
        <w:t>жасушалардың ядроларында сақталады, әйтпесе ДНҚ ерітіндіге енбейді және талдау үшін қол жетімді болмайды</w:t>
      </w:r>
      <w:r w:rsidR="00E42698">
        <w:rPr>
          <w:b w:val="0"/>
          <w:sz w:val="28"/>
          <w:szCs w:val="28"/>
          <w:vertAlign w:val="baseline"/>
        </w:rPr>
        <w:t>.</w:t>
      </w:r>
      <w:r w:rsidR="00E42698" w:rsidRPr="00E42698">
        <w:rPr>
          <w:b w:val="0"/>
          <w:sz w:val="28"/>
          <w:szCs w:val="28"/>
          <w:vertAlign w:val="baseline"/>
        </w:rPr>
        <w:t xml:space="preserve">ДНҚ, сіз білетіндей, әр жасушада бар, яғни оны кез — келген ұлпадан, тіпті жануарлардың сүйектерінен, балықтардың қабыршақтарынан немесе жасушадан тыс заттың көлемімен салыстырғанда жасушалар көп емес ағаштан бөліп алуға болады.Жануарлардың да, өсімдіктердің де барлық дене тіндерінде ДНҚ әдетте бірдей. Бұл тіндердің айырмашылығы-олардың кейбіреулерінде тұқым қуалайтын заттан басқа ештеңе жоқ (майшабақ сүті), ал басқаларында, мысалы, сүйек тінінде ДНҚ мөлшері салыстырмалы түрде аз. Сонымен қатар, жасушаларында хромосомалардың екі еселенген жиынтығы бар тіндер бар (атап айтқанда, бауыр жасушалары тетраплоидтарға жатады), сондықтан олардағы ДНҚ басқаларға қарағанда екі есе көп.Біз жұмыс үшін жасушааралық зат аз және жасушалардың өздері көп болатын тіндерді таңдауға тырыстық. Сонымен қатар, тіндердің осы компоненттерге оңай ыдырауы және жасушалар ақуыздармен (бұлшықет сияқты), липидтермен (май сияқты) немесе полисахаридтермен (ми жасушалары сияқты) шамадан тыс жүктелмегені жөн.Жұмыс үшін біз өсімдік тектес объектілерден жасыл бұршақ пен пиязды, жануарлардан алынатын объектілерден қаз бауырын, майшабақ сүтін таңдадық.Таңдалған өнімдерді (шамамен 100 мл) араластырғышқа салып, 1/8 шай қасық тұз бен 200 мл суық су қостық. 15 секунд бойы шайқалды. Миксер сізге бұршақ пен жасуша сорпасын "қайнатты".Миксерде біз тұқым қуалайтын затты шығаратын тін жеке жасушаларға ыдырайды. Жасушалар ертерек жабысып қалмас үшін ерітіндіге аздап тұз қосу керек: ішкі құрамның жасуша мембранасындағы қысымы сыртынан тұз ерітіндісінің қысымымен теңестірілді.Қоспаны сүзгі, сүзгі немесе нейлон кесегі арқылы алынған целлюлозаға сүзіп, оның мөлшерінің 1/6 бөлігін (2 ас қасық) сұйық ыдыс жуғыш затпен қосып, жақсылап араластырыңыз. 5-10 минутқа қалдырыңыз.Бұл жағдайда сүзу жасуша суспензиясынан барлық қоспаларды, соның ішінде үлкен кесектерді механикалық түрде алып тастау үшін қажет.Ыдыс жуғыш зат жасушаның өзіне де, оның өзегіне де липидті мембранада үлкен тесіктер жасауға жарайды.Мұндай өңдеудің нәтижесінде барлық жасушалық мазмұн сыртқа түсіп, ерітіндіде болады, ол өте тұтқыр, Тұтқыр және жасушалық суспензияға қарағанда едәуір мөлдір болады.Сұйықтықты пробиркаларға немесе басқа шыны ыдыстарға құйыңыз, сонда олардың әрқайсысы көлемнің үштен бірінен аспайды.Әрбір пробиркаға контактілі линза ерітіндісі қосылды (ақуыз шөгінділерін кетіру үшін таблетка қосу арқылы) және пробирканы төңкеріп, еңкейту арқылы ақырын шайқалды (егер сіз тым құлшыныспен шайқасаңыз, онда ДНҚ бұзылады).Әрі қарай, пробирканы еңкейтіп, бұршақ қоспасының үстіне қабат қалыптастыру үшін оған аздап этил спиртін құйыңыз. Алкоголь мен қоспаны тең болғанша құйыңыз. ДНҚ қабыршақ түрінде жоғарғы жағына шығады.Бірден ескеріңіз-этил спиртін арақпен немесе парфюмериямен алмастыруға болмайды: егер </w:t>
      </w:r>
      <w:r w:rsidR="00E42698" w:rsidRPr="00E42698">
        <w:rPr>
          <w:b w:val="0"/>
          <w:sz w:val="28"/>
          <w:szCs w:val="28"/>
          <w:vertAlign w:val="baseline"/>
        </w:rPr>
        <w:lastRenderedPageBreak/>
        <w:t>алкоголь концентрациясы төмен болса және су фазасымен 60-65% дейін араласқан кезде төмендесе, ДНҚ кристалды күйге өтпейді. Ішінара дәл осы себептен алкогольді ДНҚ қоспасы бар пробиркаға құйып, оны жоғарыдан қабаттастыру керек. Содан кейін алкогольдің төменгі қабаттары ДНҚ ерітіндісімен ішінара араласады, нуклеин қышқылдарының кристалдану процесі басталады және олар қабыршақ түрінде бетіне (алкоголь көп шоғырланған жерде) шығады.</w:t>
      </w:r>
      <w:r w:rsidR="00E42698">
        <w:rPr>
          <w:b w:val="0"/>
          <w:sz w:val="28"/>
          <w:szCs w:val="28"/>
          <w:vertAlign w:val="baseline"/>
        </w:rPr>
        <w:t>С</w:t>
      </w:r>
      <w:r w:rsidR="00E42698" w:rsidRPr="00E42698">
        <w:rPr>
          <w:b w:val="0"/>
          <w:sz w:val="28"/>
          <w:szCs w:val="28"/>
          <w:vertAlign w:val="baseline"/>
        </w:rPr>
        <w:t>одан кейін этанолдың аз мөлшерімен сіз ештеңе жасай алмайсыз, ал үлкен мөлшерде ол тек ДНҚ ғана емес кристалдана бастайды: ақуыздардың қалдықтары да, жасушалардың бастапқы құрамынан басқа да заттар тұнбаға түседі.Таза ДНҚ кристалдары шатастырылған жіптердің шиеленістеріне ұқсайды, бірақ сіз оның макромолекулаларын емес, заттың кристалдарын көретіндігіңізді ұмытпаңыз және олардың сыртқы түрінен сіз бөлген нуклеин қышқылының құрамында қандай гендер бар екенін айту мүмкін емес. Мұны білу үшін ДНҚ-ны қайтадан еріту керек. Алайда, зертханалық жағдайда нуклеотидтер тізбегін "оқу" мүмкін емес: бұл үшін арнайы құрылғылар ғана емес, сонымен қатар қымбат реактивтер де қажет.</w:t>
      </w:r>
    </w:p>
    <w:p w:rsidR="00F65E73" w:rsidRDefault="00F20A8F" w:rsidP="00F65E73">
      <w:pPr>
        <w:jc w:val="center"/>
        <w:rPr>
          <w:sz w:val="28"/>
          <w:szCs w:val="28"/>
          <w:vertAlign w:val="baseline"/>
        </w:rPr>
      </w:pPr>
      <w:r w:rsidRPr="00F65E73">
        <w:rPr>
          <w:sz w:val="28"/>
          <w:szCs w:val="28"/>
          <w:vertAlign w:val="baseline"/>
        </w:rPr>
        <w:t xml:space="preserve">10 дәріс </w:t>
      </w:r>
    </w:p>
    <w:p w:rsidR="00F20A8F" w:rsidRPr="00F65E73" w:rsidRDefault="00F20A8F" w:rsidP="00F65E73">
      <w:pPr>
        <w:jc w:val="center"/>
        <w:rPr>
          <w:sz w:val="28"/>
          <w:szCs w:val="28"/>
          <w:vertAlign w:val="baseline"/>
        </w:rPr>
      </w:pPr>
      <w:r w:rsidRPr="00F65E73">
        <w:rPr>
          <w:sz w:val="28"/>
          <w:szCs w:val="28"/>
          <w:vertAlign w:val="baseline"/>
        </w:rPr>
        <w:t>Пластидтер геномының эволюциясы және өсімдік геномдарының күрделілігін талдау</w:t>
      </w:r>
    </w:p>
    <w:p w:rsidR="00F20A8F" w:rsidRPr="00F65E73" w:rsidRDefault="00F20A8F" w:rsidP="00F20A8F">
      <w:pPr>
        <w:jc w:val="both"/>
        <w:rPr>
          <w:b w:val="0"/>
          <w:sz w:val="28"/>
          <w:szCs w:val="28"/>
          <w:vertAlign w:val="baseline"/>
        </w:rPr>
      </w:pPr>
      <w:r w:rsidRPr="00F65E73">
        <w:rPr>
          <w:b w:val="0"/>
          <w:sz w:val="28"/>
          <w:szCs w:val="28"/>
          <w:vertAlign w:val="baseline"/>
        </w:rPr>
        <w:t xml:space="preserve"> Пластидтер геномының эволюциясы және өсімдік геномдарының күрделілігі дәріс хлоропласт геномын жалпы өсімдіктер қауымдастығын зерттеу көзі ретінде бағалауға арналған. Баяндаманың көп бөлігі пластидтер геномдарының эволюциясына арналады. Өсімдіктердің әртүрлі топтары үшін хлоропласт геномының мөлшері мен күрделілігін салыстырмалы бағалау талқыланады. Хлоропласт геномының реттілік үлгілері ядролық геномдармен салыстырғанда талқыланады. Пластид геномдарындағы гипервариабельді аймақтардың маңыздылығы сипатталады. Дәрістің негізгі бағыты MATK, RbCl және т. б. сияқты өсімдіктердің ДНҚ маркерлеріне арналған. Молекулалық-таксономиялық зерттеулерді бағалау кезінде хлоропласт маркерлерін қолдану мысалдары келтіріледі. Хлоропласт геномдарынан алынған ДНҚ штрих-кодтарының нақты сипаттамалары қамтамасыз етіледі. Прокариоттар мен эукариоттар арасындағы геном құрамындағы айырмашылықтар көрсетіледі. Геномдық зерттеулерге қатысатын өсімдіктердің модельдік түрлері бағаланады және оларды бүкіл өсімдіктер әлемі үшін зерттеудің маңыздылығы талқыланады. Өсімдіктер әлеміндегі ең жақсы үлгілердің бірі болып табылатын Arabidopsis thaliana - ға басымдық беріледі. Сонымен қатар, өсімдік эволюциясы тұрғысынан үш субгеномнан тұратын қарапайым Triticum aestivum бидайының күрделі геномдарының бірі сипатталып, талданады. Сонымен қатар, бүйірлік геномды тасымалдау сияқты </w:t>
      </w:r>
      <w:r w:rsidRPr="00F65E73">
        <w:rPr>
          <w:b w:val="0"/>
          <w:sz w:val="28"/>
          <w:szCs w:val="28"/>
          <w:vertAlign w:val="baseline"/>
        </w:rPr>
        <w:lastRenderedPageBreak/>
        <w:t xml:space="preserve">бірнеше себептер өсімдік геномдарының күрделілігін арттыру көзі ретінде бағаланады. </w:t>
      </w:r>
    </w:p>
    <w:p w:rsidR="00F20A8F" w:rsidRPr="00E42698" w:rsidRDefault="00F20A8F" w:rsidP="00F20A8F">
      <w:pPr>
        <w:jc w:val="center"/>
        <w:rPr>
          <w:sz w:val="28"/>
          <w:szCs w:val="28"/>
          <w:vertAlign w:val="baseline"/>
        </w:rPr>
      </w:pPr>
      <w:r w:rsidRPr="00E42698">
        <w:rPr>
          <w:sz w:val="28"/>
          <w:szCs w:val="28"/>
          <w:vertAlign w:val="baseline"/>
        </w:rPr>
        <w:t>11 дәріс.</w:t>
      </w:r>
    </w:p>
    <w:p w:rsidR="00F20A8F" w:rsidRPr="00F65E73" w:rsidRDefault="00F20A8F" w:rsidP="00F20A8F">
      <w:pPr>
        <w:jc w:val="center"/>
        <w:rPr>
          <w:b w:val="0"/>
          <w:sz w:val="28"/>
          <w:szCs w:val="28"/>
          <w:vertAlign w:val="baseline"/>
        </w:rPr>
      </w:pPr>
      <w:r w:rsidRPr="00F65E73">
        <w:rPr>
          <w:sz w:val="28"/>
          <w:szCs w:val="28"/>
          <w:vertAlign w:val="baseline"/>
        </w:rPr>
        <w:t>Өсімдік популяциясын зерттеудегі бүкіл геномдық реттілік</w:t>
      </w:r>
      <w:r w:rsidRPr="00F65E73">
        <w:rPr>
          <w:sz w:val="28"/>
          <w:szCs w:val="28"/>
        </w:rPr>
        <w:t>.</w:t>
      </w:r>
    </w:p>
    <w:p w:rsidR="00F20A8F" w:rsidRPr="00F65E73" w:rsidRDefault="00F20A8F" w:rsidP="00F20A8F">
      <w:pPr>
        <w:jc w:val="both"/>
        <w:rPr>
          <w:b w:val="0"/>
          <w:sz w:val="28"/>
          <w:szCs w:val="28"/>
          <w:vertAlign w:val="baseline"/>
        </w:rPr>
      </w:pPr>
      <w:r w:rsidRPr="00F65E73">
        <w:rPr>
          <w:b w:val="0"/>
          <w:sz w:val="28"/>
          <w:szCs w:val="28"/>
          <w:vertAlign w:val="baseline"/>
        </w:rPr>
        <w:t xml:space="preserve">ДНҚ маркерлерінің полиморфизмі және оларды PG зерттеулерінде қолдану бұл дәріс популяция генетикасында жиі қолданылатын полиморфты ДНҚ маркерлерінің ең танымал түрлеріне арналған. ДНҚ маркерлерінің даму тарихы көрсетіледі. Дәрісте ДНҚ маркерлерінің геномдық спецификалық емес және геномдық спецификалық түрлерін білдіретін aflp және ДНҚ микросателлиттік маркерлеріне ерекше назар аударылады. ДНҚ маркерлерінің екі түрін де қолданудың техникалық мәліметтері болады. Фокустардың бірі ДНҚ микроспутниктік маркерлердің дамуы мен ашылу тарихына, олардың түрлеріне, мотивтеріне, нәтижелерді бағалау және түсіндіру әдістеріне назар аударады. Талқылаудың тағы бір аспектісі ДНҚ анализаторларының заманауи түрлерін қолдана отырып, процесті автоматтандыру болады. Өсімдік популяциясының құрылымын зерттеу кезінде SSR және AFLP маркерлерінің маңыздылығы бағаланады. </w:t>
      </w:r>
    </w:p>
    <w:p w:rsidR="00F20A8F" w:rsidRPr="00E42698" w:rsidRDefault="00F20A8F" w:rsidP="00F20A8F">
      <w:pPr>
        <w:jc w:val="center"/>
        <w:rPr>
          <w:sz w:val="28"/>
          <w:szCs w:val="28"/>
          <w:vertAlign w:val="baseline"/>
        </w:rPr>
      </w:pPr>
      <w:r w:rsidRPr="00E42698">
        <w:rPr>
          <w:sz w:val="28"/>
          <w:szCs w:val="28"/>
          <w:vertAlign w:val="baseline"/>
        </w:rPr>
        <w:t>12 дәріс</w:t>
      </w:r>
    </w:p>
    <w:p w:rsidR="00F20A8F" w:rsidRPr="00F65E73" w:rsidRDefault="00F20A8F" w:rsidP="00F20A8F">
      <w:pPr>
        <w:jc w:val="center"/>
        <w:rPr>
          <w:sz w:val="28"/>
          <w:szCs w:val="28"/>
          <w:vertAlign w:val="baseline"/>
        </w:rPr>
      </w:pPr>
      <w:r w:rsidRPr="00F65E73">
        <w:rPr>
          <w:sz w:val="28"/>
          <w:szCs w:val="28"/>
          <w:vertAlign w:val="baseline"/>
        </w:rPr>
        <w:t>Популяция генетикасындағы биоинформатика.</w:t>
      </w:r>
    </w:p>
    <w:p w:rsidR="00F20A8F" w:rsidRPr="00F65E73" w:rsidRDefault="00F20A8F" w:rsidP="00F20A8F">
      <w:pPr>
        <w:jc w:val="both"/>
        <w:rPr>
          <w:b w:val="0"/>
          <w:sz w:val="28"/>
          <w:szCs w:val="28"/>
          <w:vertAlign w:val="baseline"/>
        </w:rPr>
      </w:pPr>
      <w:r w:rsidRPr="00F65E73">
        <w:rPr>
          <w:b w:val="0"/>
          <w:sz w:val="28"/>
          <w:szCs w:val="28"/>
          <w:vertAlign w:val="baseline"/>
        </w:rPr>
        <w:t xml:space="preserve">Жұптық тізбекті туралау дәріс ДНҚ секвенирлеу тәсіліне және молекулалық таксономиядағы ДНҚ тізбегін өңдеуге бағытталған. Жұптық және бірнеше тізбекті туралау тәсілдерін қолдана отырып, тізбектерді туралауға ерекше назар аударылады. Туралау негізінде дендрограммаларды құру талқыланады. Дәрісте ДНҚ тізбегінің сапасын бақылаудан бастап, соның ішінде қатаң сапа шектерін қолданудан бастап бүкіл процесс талқыланады. Осыдан кейін жұмыс файлдарын дайындау, жұптық және бірнеше реттілік критерийлерін орнату сияқты қадамдар талқыланады. Жұптық және бірнеше реттілік туралануы арасындағы айырмашылықтар мен ұқсастықтар бөлінеді. Тізбекті туралау бағдарламалық құралы тізімделеді және әрбір әдіс пен модельдің қасиеттері бағаланады. </w:t>
      </w:r>
    </w:p>
    <w:p w:rsidR="00F20A8F" w:rsidRPr="00E42698" w:rsidRDefault="00F20A8F" w:rsidP="00F20A8F">
      <w:pPr>
        <w:jc w:val="center"/>
        <w:rPr>
          <w:sz w:val="28"/>
          <w:szCs w:val="28"/>
          <w:vertAlign w:val="baseline"/>
        </w:rPr>
      </w:pPr>
      <w:r w:rsidRPr="00E42698">
        <w:rPr>
          <w:sz w:val="28"/>
          <w:szCs w:val="28"/>
          <w:vertAlign w:val="baseline"/>
        </w:rPr>
        <w:t>11 дәріс</w:t>
      </w:r>
    </w:p>
    <w:p w:rsidR="00F20A8F" w:rsidRPr="00F65E73" w:rsidRDefault="00F20A8F" w:rsidP="00F20A8F">
      <w:pPr>
        <w:jc w:val="center"/>
        <w:rPr>
          <w:b w:val="0"/>
          <w:sz w:val="28"/>
          <w:szCs w:val="28"/>
          <w:vertAlign w:val="baseline"/>
        </w:rPr>
      </w:pPr>
      <w:r w:rsidRPr="00F65E73">
        <w:rPr>
          <w:sz w:val="28"/>
          <w:szCs w:val="28"/>
          <w:vertAlign w:val="baseline"/>
        </w:rPr>
        <w:t>Молекулалық эволюциялық филогенетикалық сызбаның (ағаштарды) құрылысы.</w:t>
      </w:r>
    </w:p>
    <w:p w:rsidR="00CA775F" w:rsidRDefault="00F20A8F" w:rsidP="00F20A8F">
      <w:pPr>
        <w:jc w:val="both"/>
        <w:rPr>
          <w:b w:val="0"/>
          <w:sz w:val="28"/>
          <w:szCs w:val="28"/>
          <w:vertAlign w:val="baseline"/>
        </w:rPr>
      </w:pPr>
      <w:r w:rsidRPr="00F65E73">
        <w:rPr>
          <w:b w:val="0"/>
          <w:sz w:val="28"/>
          <w:szCs w:val="28"/>
          <w:vertAlign w:val="baseline"/>
        </w:rPr>
        <w:t xml:space="preserve">Бүкіл геномды секвенирлеу өсімдіктер популяциясын зерттеуде дәрістің негізгі бағыты өсімдіктер қауымдастығының эволюциялық зерттеулерінде қолданылуы мүмкін бүкіл геномды секвенирлеу жобаларына аударылады. Геномдардың құрылымына, геномдардың консервативті және өзгермелі </w:t>
      </w:r>
      <w:r w:rsidRPr="00F65E73">
        <w:rPr>
          <w:b w:val="0"/>
          <w:sz w:val="28"/>
          <w:szCs w:val="28"/>
          <w:vertAlign w:val="baseline"/>
        </w:rPr>
        <w:lastRenderedPageBreak/>
        <w:t>бөліктерін салыстыруға және популяция генетикасында бүкіл геномдық реттілік туралы ақпаратты пайдалану мүмкіндіктеріне назар аударылады. Дәрістің тағы бір бөлігі популяцияның генетикалық құрылымын бағалау үшін тиімді және ақпараттандыратын ДНҚ маркерлерін табу мәселесіне арналады. Мұндай маркерлердің айқын мысалы-зерттелген әрбір геномда көп болатын МИКРОСАТЕЛЛИТТІК ДНҚ маркерлері.</w:t>
      </w:r>
    </w:p>
    <w:p w:rsidR="00E42698" w:rsidRDefault="00F20A8F" w:rsidP="000A044F">
      <w:pPr>
        <w:spacing w:after="0" w:line="240" w:lineRule="auto"/>
        <w:ind w:firstLine="709"/>
        <w:jc w:val="center"/>
        <w:rPr>
          <w:sz w:val="28"/>
          <w:szCs w:val="28"/>
          <w:vertAlign w:val="baseline"/>
        </w:rPr>
      </w:pPr>
      <w:r w:rsidRPr="000A044F">
        <w:rPr>
          <w:sz w:val="28"/>
          <w:szCs w:val="28"/>
          <w:vertAlign w:val="baseline"/>
        </w:rPr>
        <w:t xml:space="preserve">14 Дәріс </w:t>
      </w:r>
    </w:p>
    <w:p w:rsidR="00F20A8F" w:rsidRDefault="00F20A8F" w:rsidP="000A044F">
      <w:pPr>
        <w:spacing w:after="0" w:line="240" w:lineRule="auto"/>
        <w:ind w:firstLine="709"/>
        <w:jc w:val="center"/>
        <w:rPr>
          <w:sz w:val="28"/>
          <w:szCs w:val="28"/>
          <w:vertAlign w:val="baseline"/>
        </w:rPr>
      </w:pPr>
      <w:r w:rsidRPr="000A044F">
        <w:rPr>
          <w:sz w:val="28"/>
          <w:szCs w:val="28"/>
          <w:vertAlign w:val="baseline"/>
        </w:rPr>
        <w:t>Өсімдіктер ресурсын сақтау және пайдалы өсімдіктер  қорын анықтау</w:t>
      </w:r>
    </w:p>
    <w:p w:rsidR="000A044F" w:rsidRPr="000A044F" w:rsidRDefault="000A044F" w:rsidP="000A044F">
      <w:pPr>
        <w:spacing w:after="0" w:line="240" w:lineRule="auto"/>
        <w:ind w:firstLine="709"/>
        <w:jc w:val="center"/>
        <w:rPr>
          <w:sz w:val="28"/>
          <w:szCs w:val="28"/>
          <w:vertAlign w:val="baseline"/>
        </w:rPr>
      </w:pP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2724,9 мың шаршы км алып жатқан кең байтақ Қазақстан Республикасы территориясы Евразия орталығында Батыс-Сибир тегістігінен және Оңтүстік Оралдан ыстық құрғақ Орталық Азия шөлдеріне және Тянь-Шань тау жүйелеріне дейін </w:t>
      </w:r>
      <w:smartTag w:uri="urn:schemas-microsoft-com:office:smarttags" w:element="metricconverter">
        <w:smartTagPr>
          <w:attr w:name="ProductID" w:val="1600 км"/>
        </w:smartTagPr>
        <w:r w:rsidRPr="000A044F">
          <w:rPr>
            <w:b w:val="0"/>
            <w:sz w:val="28"/>
            <w:szCs w:val="28"/>
            <w:vertAlign w:val="baseline"/>
          </w:rPr>
          <w:t>1600 км</w:t>
        </w:r>
      </w:smartTag>
      <w:r w:rsidRPr="000A044F">
        <w:rPr>
          <w:b w:val="0"/>
          <w:sz w:val="28"/>
          <w:szCs w:val="28"/>
          <w:vertAlign w:val="baseline"/>
        </w:rPr>
        <w:t xml:space="preserve"> және Батыс Шығысқа қарай Волга өзенінің төменгі бөлігі және Каспиден Алтайға дейін 2925 км созылып жатқандықтан табиғат жағдайларының үлкен әртүрлілігін қамтамасыз етеді. Қазақстан территориясында жер шарының барлық ландшафтарының типтері құрғақ субтропикадан және ыстық, қапырық шөлдердің әртүрлі типтерінен биік тау тундрасына және мұздарына дейін кездеседі. Осындай әртүрлі ландшафтардың оған қосымша Каспий, Арал, Балхаш, Зайсан, Алакөл сияқты континентішілік теңіздердің және көлдердің болуы, Қазақстан биоталарының бай және әртүрлі болуын қамтамасыз етті. Қазақстанның ерекше белгісі-ол оның Евразияның ортасында болуына байланысты оның қатал климат жағдайы және үлкен тегістігінде дала және шөл ландшафтарының дамуы. Қазақстан территориясының 40</w:t>
      </w:r>
      <w:r w:rsidRPr="000A044F">
        <w:rPr>
          <w:b w:val="0"/>
          <w:sz w:val="28"/>
          <w:szCs w:val="28"/>
          <w:vertAlign w:val="baseline"/>
        </w:rPr>
        <w:sym w:font="Symbol" w:char="F025"/>
      </w:r>
      <w:r w:rsidRPr="000A044F">
        <w:rPr>
          <w:b w:val="0"/>
          <w:sz w:val="28"/>
          <w:szCs w:val="28"/>
          <w:vertAlign w:val="baseline"/>
        </w:rPr>
        <w:t>-дан аса бөлігін дала және 55</w:t>
      </w:r>
      <w:r w:rsidRPr="000A044F">
        <w:rPr>
          <w:b w:val="0"/>
          <w:sz w:val="28"/>
          <w:szCs w:val="28"/>
          <w:vertAlign w:val="baseline"/>
        </w:rPr>
        <w:sym w:font="Symbol" w:char="F025"/>
      </w:r>
      <w:r w:rsidRPr="000A044F">
        <w:rPr>
          <w:b w:val="0"/>
          <w:sz w:val="28"/>
          <w:szCs w:val="28"/>
          <w:vertAlign w:val="baseline"/>
        </w:rPr>
        <w:t xml:space="preserve"> шамасында шөлдер алып жатыр, экожүйелер антропогендік әсерге әлсіз, оңай тұрақсызданады және қайтадан қалпына келу қабілеттілігі өте нашар.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Бұл региондарда халықтың аздығы кең байтақ территорияларды қорғаныс базаларын және сынақ полигондарын салуға, жер қойнауының байлығын қазып шығаратын өнеркәсіптің дамуына, ал солтүстікте құнарлы жерлердің болуы тың және тыңайған жерлерді игеруге алып келді. Әкімшілік - бұйрық жүйесі жағдайында экономика табиғат байлығын барынша мол сығып алу мақсатында экстенсивтік жолмен дамыды. Әрине тезірек жер қойнауы байлықтарын алуды мақсат еткен шаруашылық қызмет жағдайында ол процестің кейіннен экологияға әсері ескерілген жоқ. Соның салдарынан экожүйелер терең кең көлемді бұзылды, көп жерлер шөлге айналды және биологиялық алуан түрлілікке үлкен зиян келді. Флораның биологиялық алуан түрлілігі және өсімдіктер ресурстары зиян шекті.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Қазақстанның өсімдіктер жабынын 6000 түрден астам 128 тұқымдасқа жататын жоғары сатыдағы өсімдіктер жасайды. Олардың 14</w:t>
      </w:r>
      <w:r w:rsidRPr="000A044F">
        <w:rPr>
          <w:b w:val="0"/>
          <w:sz w:val="28"/>
          <w:szCs w:val="28"/>
          <w:vertAlign w:val="baseline"/>
        </w:rPr>
        <w:sym w:font="Symbol" w:char="F025"/>
      </w:r>
      <w:r w:rsidRPr="000A044F">
        <w:rPr>
          <w:b w:val="0"/>
          <w:sz w:val="28"/>
          <w:szCs w:val="28"/>
          <w:vertAlign w:val="baseline"/>
        </w:rPr>
        <w:t xml:space="preserve"> эндемдер флоралық әртүрлілік деңгейі Қазақстанның әртүрлі бөліктерінде бірдей емес. Қазақстаннның тегістік бөліктерінде шөлдер және далаларда флораның әртүрлілігі және өзіндік ерекшелігі батыстан Шығысқа қарай ұлғаяды. Ал тау жүйелерінде флораның әртүрлілігі және өзіндік ерекшелігі Солтүстік-</w:t>
      </w:r>
      <w:r w:rsidRPr="000A044F">
        <w:rPr>
          <w:b w:val="0"/>
          <w:sz w:val="28"/>
          <w:szCs w:val="28"/>
          <w:vertAlign w:val="baseline"/>
        </w:rPr>
        <w:lastRenderedPageBreak/>
        <w:t xml:space="preserve">Шығыстан (Алтай) Оңтүстік батысқа (Батыс Тянь-Шань, Қаратау) қарай ұлғаяды. Қазақстанда 10 монотиптік эндемикалық туыстарды ерекше атауға болады: </w:t>
      </w:r>
      <w:r w:rsidRPr="000A044F">
        <w:rPr>
          <w:b w:val="0"/>
          <w:i/>
          <w:sz w:val="28"/>
          <w:szCs w:val="28"/>
          <w:vertAlign w:val="baseline"/>
        </w:rPr>
        <w:t>Physandra</w:t>
      </w:r>
      <w:r w:rsidRPr="000A044F">
        <w:rPr>
          <w:b w:val="0"/>
          <w:sz w:val="28"/>
          <w:szCs w:val="28"/>
          <w:vertAlign w:val="baseline"/>
        </w:rPr>
        <w:t xml:space="preserve"> (Физандра), </w:t>
      </w:r>
      <w:r w:rsidRPr="000A044F">
        <w:rPr>
          <w:b w:val="0"/>
          <w:i/>
          <w:sz w:val="28"/>
          <w:szCs w:val="28"/>
          <w:vertAlign w:val="baseline"/>
        </w:rPr>
        <w:t>Rhaphydophyton</w:t>
      </w:r>
      <w:r w:rsidRPr="000A044F">
        <w:rPr>
          <w:b w:val="0"/>
          <w:sz w:val="28"/>
          <w:szCs w:val="28"/>
          <w:vertAlign w:val="baseline"/>
        </w:rPr>
        <w:t xml:space="preserve"> (Рафидофитон), Pseudoeremustаshys (Лжепустынноколосник-жалған шөлмесақ), </w:t>
      </w:r>
      <w:r w:rsidRPr="000A044F">
        <w:rPr>
          <w:b w:val="0"/>
          <w:i/>
          <w:sz w:val="28"/>
          <w:szCs w:val="28"/>
          <w:vertAlign w:val="baseline"/>
        </w:rPr>
        <w:t>Botschanziwia</w:t>
      </w:r>
      <w:r w:rsidRPr="000A044F">
        <w:rPr>
          <w:b w:val="0"/>
          <w:sz w:val="28"/>
          <w:szCs w:val="28"/>
          <w:vertAlign w:val="baseline"/>
        </w:rPr>
        <w:t xml:space="preserve"> (Бочанцевия), </w:t>
      </w:r>
      <w:r w:rsidRPr="000A044F">
        <w:rPr>
          <w:b w:val="0"/>
          <w:i/>
          <w:sz w:val="28"/>
          <w:szCs w:val="28"/>
          <w:vertAlign w:val="baseline"/>
        </w:rPr>
        <w:t>Pseudomarrubium</w:t>
      </w:r>
      <w:r w:rsidRPr="000A044F">
        <w:rPr>
          <w:b w:val="0"/>
          <w:sz w:val="28"/>
          <w:szCs w:val="28"/>
          <w:vertAlign w:val="baseline"/>
        </w:rPr>
        <w:t xml:space="preserve"> (Ложная шандра - жалған шандра), </w:t>
      </w:r>
      <w:r w:rsidRPr="000A044F">
        <w:rPr>
          <w:b w:val="0"/>
          <w:i/>
          <w:sz w:val="28"/>
          <w:szCs w:val="28"/>
          <w:vertAlign w:val="baseline"/>
        </w:rPr>
        <w:t>Cankriniella</w:t>
      </w:r>
      <w:r w:rsidRPr="000A044F">
        <w:rPr>
          <w:b w:val="0"/>
          <w:sz w:val="28"/>
          <w:szCs w:val="28"/>
          <w:vertAlign w:val="baseline"/>
        </w:rPr>
        <w:t xml:space="preserve"> (Канкриниелла), </w:t>
      </w:r>
      <w:r w:rsidRPr="000A044F">
        <w:rPr>
          <w:b w:val="0"/>
          <w:i/>
          <w:sz w:val="28"/>
          <w:szCs w:val="28"/>
          <w:vertAlign w:val="baseline"/>
        </w:rPr>
        <w:t>Spiraeаnthus</w:t>
      </w:r>
      <w:r w:rsidRPr="000A044F">
        <w:rPr>
          <w:b w:val="0"/>
          <w:sz w:val="28"/>
          <w:szCs w:val="28"/>
          <w:vertAlign w:val="baseline"/>
        </w:rPr>
        <w:t xml:space="preserve"> (Таволгоцвет - тобылғытүс), Pterygostemon (Птеригостемон), </w:t>
      </w:r>
      <w:r w:rsidRPr="000A044F">
        <w:rPr>
          <w:b w:val="0"/>
          <w:i/>
          <w:sz w:val="28"/>
          <w:szCs w:val="28"/>
          <w:vertAlign w:val="baseline"/>
        </w:rPr>
        <w:t>Pastinacopsis</w:t>
      </w:r>
      <w:r w:rsidRPr="000A044F">
        <w:rPr>
          <w:b w:val="0"/>
          <w:sz w:val="28"/>
          <w:szCs w:val="28"/>
          <w:vertAlign w:val="baseline"/>
        </w:rPr>
        <w:t xml:space="preserve"> (Пастернаковник), </w:t>
      </w:r>
      <w:r w:rsidRPr="000A044F">
        <w:rPr>
          <w:b w:val="0"/>
          <w:i/>
          <w:sz w:val="28"/>
          <w:szCs w:val="28"/>
          <w:vertAlign w:val="baseline"/>
        </w:rPr>
        <w:t>Niedziwedzkiа</w:t>
      </w:r>
      <w:r w:rsidRPr="000A044F">
        <w:rPr>
          <w:b w:val="0"/>
          <w:sz w:val="28"/>
          <w:szCs w:val="28"/>
          <w:vertAlign w:val="baseline"/>
        </w:rPr>
        <w:t xml:space="preserve"> (Недзвецкия)</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Қазақстанның 1981 жылы баспадан шыққан Қызыл кітабына жоғарғы сатыдағы өсімдіктердің 279 түрі кіргізілген болса, соңғы жылдары баспаға тапсырылған қызыл кітаптың екінші басылымына өсімдіктердің 400 сирек кездесетін түрлері енгізілген. </w:t>
      </w:r>
      <w:r>
        <w:rPr>
          <w:b w:val="0"/>
          <w:sz w:val="28"/>
          <w:szCs w:val="28"/>
          <w:vertAlign w:val="baseline"/>
        </w:rPr>
        <w:t>Қ</w:t>
      </w:r>
      <w:r w:rsidRPr="000A044F">
        <w:rPr>
          <w:b w:val="0"/>
          <w:sz w:val="28"/>
          <w:szCs w:val="28"/>
          <w:vertAlign w:val="baseline"/>
        </w:rPr>
        <w:t xml:space="preserve">азақстан территориясында соңғы 10 жылдықтарда бірқатар өсімдіктер түрлері көрінбейді. Ол түрлер жойылып кетті деген болжамдар бар. Ол түрлер санына Оңтүстік Қазақстан регионында кіретіндер: </w:t>
      </w:r>
      <w:r w:rsidRPr="000A044F">
        <w:rPr>
          <w:b w:val="0"/>
          <w:i/>
          <w:sz w:val="28"/>
          <w:szCs w:val="28"/>
          <w:vertAlign w:val="baseline"/>
        </w:rPr>
        <w:t>Dryopteris mindshelkensis</w:t>
      </w:r>
      <w:r w:rsidRPr="000A044F">
        <w:rPr>
          <w:b w:val="0"/>
          <w:sz w:val="28"/>
          <w:szCs w:val="28"/>
          <w:vertAlign w:val="baseline"/>
        </w:rPr>
        <w:t xml:space="preserve"> (Щитовник Менжелькенский - усасыр мыңжылқы), </w:t>
      </w:r>
      <w:r w:rsidRPr="000A044F">
        <w:rPr>
          <w:b w:val="0"/>
          <w:i/>
          <w:sz w:val="28"/>
          <w:szCs w:val="28"/>
          <w:vertAlign w:val="baseline"/>
        </w:rPr>
        <w:t xml:space="preserve">Stroganovia robusta </w:t>
      </w:r>
      <w:r w:rsidRPr="000A044F">
        <w:rPr>
          <w:b w:val="0"/>
          <w:sz w:val="28"/>
          <w:szCs w:val="28"/>
          <w:vertAlign w:val="baseline"/>
        </w:rPr>
        <w:t xml:space="preserve">- строгановия коренастая - шымыр строгиновая) </w:t>
      </w:r>
      <w:r w:rsidRPr="000A044F">
        <w:rPr>
          <w:b w:val="0"/>
          <w:i/>
          <w:sz w:val="28"/>
          <w:szCs w:val="28"/>
          <w:vertAlign w:val="baseline"/>
        </w:rPr>
        <w:t>Prangos equisetoides</w:t>
      </w:r>
      <w:r w:rsidRPr="000A044F">
        <w:rPr>
          <w:b w:val="0"/>
          <w:sz w:val="28"/>
          <w:szCs w:val="28"/>
          <w:vertAlign w:val="baseline"/>
        </w:rPr>
        <w:t xml:space="preserve"> (Прангос), </w:t>
      </w:r>
      <w:r w:rsidRPr="000A044F">
        <w:rPr>
          <w:b w:val="0"/>
          <w:i/>
          <w:sz w:val="28"/>
          <w:szCs w:val="28"/>
          <w:vertAlign w:val="baseline"/>
        </w:rPr>
        <w:t>Dorema varataviense</w:t>
      </w:r>
      <w:r w:rsidRPr="000A044F">
        <w:rPr>
          <w:b w:val="0"/>
          <w:sz w:val="28"/>
          <w:szCs w:val="28"/>
          <w:vertAlign w:val="baseline"/>
        </w:rPr>
        <w:t xml:space="preserve"> (Дорема каратавская - қаратау сасыққурайы), </w:t>
      </w:r>
      <w:r w:rsidRPr="000A044F">
        <w:rPr>
          <w:b w:val="0"/>
          <w:i/>
          <w:sz w:val="28"/>
          <w:szCs w:val="28"/>
          <w:vertAlign w:val="baseline"/>
        </w:rPr>
        <w:t>Acantholimon minshelkense</w:t>
      </w:r>
      <w:r w:rsidRPr="000A044F">
        <w:rPr>
          <w:b w:val="0"/>
          <w:sz w:val="28"/>
          <w:szCs w:val="28"/>
          <w:vertAlign w:val="baseline"/>
        </w:rPr>
        <w:t xml:space="preserve"> (Аконтолимон минжелкенский - мыңжылғы кемпіршөп), </w:t>
      </w:r>
      <w:r w:rsidRPr="000A044F">
        <w:rPr>
          <w:b w:val="0"/>
          <w:i/>
          <w:sz w:val="28"/>
          <w:szCs w:val="28"/>
          <w:vertAlign w:val="baseline"/>
        </w:rPr>
        <w:t>Eremostashys pectinata</w:t>
      </w:r>
      <w:r w:rsidRPr="000A044F">
        <w:rPr>
          <w:b w:val="0"/>
          <w:sz w:val="28"/>
          <w:szCs w:val="28"/>
          <w:vertAlign w:val="baseline"/>
        </w:rPr>
        <w:t xml:space="preserve"> (Пустынноколосник – гребенчатый - тарақша шолмасақ), </w:t>
      </w:r>
      <w:r w:rsidRPr="000A044F">
        <w:rPr>
          <w:b w:val="0"/>
          <w:i/>
          <w:sz w:val="28"/>
          <w:szCs w:val="28"/>
          <w:vertAlign w:val="baseline"/>
        </w:rPr>
        <w:t>Orobunche karatavica</w:t>
      </w:r>
      <w:r w:rsidRPr="000A044F">
        <w:rPr>
          <w:b w:val="0"/>
          <w:sz w:val="28"/>
          <w:szCs w:val="28"/>
          <w:vertAlign w:val="baseline"/>
        </w:rPr>
        <w:t xml:space="preserve"> (Заразиха каратавская - қаратау сұңғыласы), </w:t>
      </w:r>
      <w:r w:rsidRPr="000A044F">
        <w:rPr>
          <w:b w:val="0"/>
          <w:i/>
          <w:sz w:val="28"/>
          <w:szCs w:val="28"/>
          <w:vertAlign w:val="baseline"/>
        </w:rPr>
        <w:t>Centaurea kultiassovi</w:t>
      </w:r>
      <w:r w:rsidRPr="000A044F">
        <w:rPr>
          <w:b w:val="0"/>
          <w:sz w:val="28"/>
          <w:szCs w:val="28"/>
          <w:vertAlign w:val="baseline"/>
        </w:rPr>
        <w:t xml:space="preserve"> (Василек культисова - культисов – гул кекіресі) кіреді.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Орталық Қазақстанда </w:t>
      </w:r>
      <w:r w:rsidRPr="000A044F">
        <w:rPr>
          <w:b w:val="0"/>
          <w:i/>
          <w:sz w:val="28"/>
          <w:szCs w:val="28"/>
          <w:vertAlign w:val="baseline"/>
        </w:rPr>
        <w:t>Adiantum capillus-veneris</w:t>
      </w:r>
      <w:r w:rsidRPr="000A044F">
        <w:rPr>
          <w:b w:val="0"/>
          <w:sz w:val="28"/>
          <w:szCs w:val="28"/>
          <w:vertAlign w:val="baseline"/>
        </w:rPr>
        <w:t xml:space="preserve"> (</w:t>
      </w:r>
      <w:r w:rsidRPr="000A044F">
        <w:rPr>
          <w:b w:val="0"/>
          <w:i/>
          <w:sz w:val="28"/>
          <w:szCs w:val="28"/>
          <w:vertAlign w:val="baseline"/>
        </w:rPr>
        <w:t>Aquantum</w:t>
      </w:r>
      <w:r w:rsidRPr="000A044F">
        <w:rPr>
          <w:b w:val="0"/>
          <w:sz w:val="28"/>
          <w:szCs w:val="28"/>
          <w:vertAlign w:val="baseline"/>
        </w:rPr>
        <w:t xml:space="preserve">), </w:t>
      </w:r>
      <w:r w:rsidRPr="000A044F">
        <w:rPr>
          <w:b w:val="0"/>
          <w:i/>
          <w:sz w:val="28"/>
          <w:szCs w:val="28"/>
          <w:vertAlign w:val="baseline"/>
        </w:rPr>
        <w:t xml:space="preserve">Berberis karkaralensis </w:t>
      </w:r>
      <w:r w:rsidRPr="000A044F">
        <w:rPr>
          <w:b w:val="0"/>
          <w:sz w:val="28"/>
          <w:szCs w:val="28"/>
          <w:vertAlign w:val="baseline"/>
        </w:rPr>
        <w:t xml:space="preserve">(Барбарис каркаралинский - қарқаралы бөріқарақат), </w:t>
      </w:r>
      <w:r w:rsidRPr="000A044F">
        <w:rPr>
          <w:b w:val="0"/>
          <w:i/>
          <w:sz w:val="28"/>
          <w:szCs w:val="28"/>
          <w:vertAlign w:val="baseline"/>
        </w:rPr>
        <w:t xml:space="preserve">Вetula kirghisоrum </w:t>
      </w:r>
      <w:r w:rsidRPr="000A044F">
        <w:rPr>
          <w:b w:val="0"/>
          <w:sz w:val="28"/>
          <w:szCs w:val="28"/>
          <w:vertAlign w:val="baseline"/>
        </w:rPr>
        <w:t xml:space="preserve">- береза киргизская – қызыл қайың), </w:t>
      </w:r>
      <w:r w:rsidRPr="000A044F">
        <w:rPr>
          <w:b w:val="0"/>
          <w:i/>
          <w:sz w:val="28"/>
          <w:szCs w:val="28"/>
          <w:vertAlign w:val="baseline"/>
        </w:rPr>
        <w:t>Paris quadrifolia</w:t>
      </w:r>
      <w:r w:rsidRPr="000A044F">
        <w:rPr>
          <w:b w:val="0"/>
          <w:sz w:val="28"/>
          <w:szCs w:val="28"/>
          <w:vertAlign w:val="baseline"/>
        </w:rPr>
        <w:t xml:space="preserve"> (Вороний глаз обыкновенный кәдімгі - қарға көз). </w:t>
      </w:r>
      <w:r w:rsidRPr="000A044F">
        <w:rPr>
          <w:b w:val="0"/>
          <w:i/>
          <w:sz w:val="28"/>
          <w:szCs w:val="28"/>
          <w:vertAlign w:val="baseline"/>
        </w:rPr>
        <w:t>Alnus qlutinоsа</w:t>
      </w:r>
      <w:r w:rsidRPr="000A044F">
        <w:rPr>
          <w:b w:val="0"/>
          <w:sz w:val="28"/>
          <w:szCs w:val="28"/>
          <w:vertAlign w:val="baseline"/>
        </w:rPr>
        <w:t xml:space="preserve"> (Ольха клейкая - жабысқан қандағаш), Gymnаdenia  conopsea (кокушник комариный – масалы көкекшөп), </w:t>
      </w:r>
      <w:r w:rsidRPr="000A044F">
        <w:rPr>
          <w:b w:val="0"/>
          <w:i/>
          <w:sz w:val="28"/>
          <w:szCs w:val="28"/>
          <w:vertAlign w:val="baseline"/>
        </w:rPr>
        <w:t>Dactуlornisa fuhsii</w:t>
      </w:r>
      <w:r w:rsidRPr="000A044F">
        <w:rPr>
          <w:b w:val="0"/>
          <w:sz w:val="28"/>
          <w:szCs w:val="28"/>
          <w:vertAlign w:val="baseline"/>
        </w:rPr>
        <w:t xml:space="preserve"> (Пальчатокоренник) </w:t>
      </w:r>
      <w:r w:rsidRPr="000A044F">
        <w:rPr>
          <w:b w:val="0"/>
          <w:i/>
          <w:sz w:val="28"/>
          <w:szCs w:val="28"/>
          <w:vertAlign w:val="baseline"/>
        </w:rPr>
        <w:t>Dictamnus angustifolius</w:t>
      </w:r>
      <w:r w:rsidRPr="000A044F">
        <w:rPr>
          <w:b w:val="0"/>
          <w:sz w:val="28"/>
          <w:szCs w:val="28"/>
          <w:vertAlign w:val="baseline"/>
        </w:rPr>
        <w:t xml:space="preserve"> (Ясенец узколистый – таспажапырақ куймесгулі).</w:t>
      </w:r>
      <w:r>
        <w:rPr>
          <w:b w:val="0"/>
          <w:sz w:val="28"/>
          <w:szCs w:val="28"/>
          <w:vertAlign w:val="baseline"/>
        </w:rPr>
        <w:t xml:space="preserve"> </w:t>
      </w:r>
      <w:r w:rsidRPr="000A044F">
        <w:rPr>
          <w:b w:val="0"/>
          <w:sz w:val="28"/>
          <w:szCs w:val="28"/>
          <w:vertAlign w:val="baseline"/>
        </w:rPr>
        <w:t>Шығыс Қазақстанда: (</w:t>
      </w:r>
      <w:r w:rsidRPr="000A044F">
        <w:rPr>
          <w:b w:val="0"/>
          <w:i/>
          <w:sz w:val="28"/>
          <w:szCs w:val="28"/>
          <w:vertAlign w:val="baseline"/>
        </w:rPr>
        <w:t>Rubia rezniczenciana</w:t>
      </w:r>
      <w:r w:rsidRPr="000A044F">
        <w:rPr>
          <w:b w:val="0"/>
          <w:sz w:val="28"/>
          <w:szCs w:val="28"/>
          <w:vertAlign w:val="baseline"/>
        </w:rPr>
        <w:t xml:space="preserve"> – марена Резниченковская резиненко рияны), </w:t>
      </w:r>
      <w:r w:rsidRPr="000A044F">
        <w:rPr>
          <w:b w:val="0"/>
          <w:i/>
          <w:sz w:val="28"/>
          <w:szCs w:val="28"/>
          <w:vertAlign w:val="baseline"/>
        </w:rPr>
        <w:t>Arenata Potaninii</w:t>
      </w:r>
      <w:r w:rsidRPr="000A044F">
        <w:rPr>
          <w:b w:val="0"/>
          <w:sz w:val="28"/>
          <w:szCs w:val="28"/>
          <w:vertAlign w:val="baseline"/>
        </w:rPr>
        <w:t xml:space="preserve"> (Песчанка Потанина - потанин құмдақ шөбі)</w:t>
      </w:r>
      <w:r>
        <w:rPr>
          <w:b w:val="0"/>
          <w:sz w:val="28"/>
          <w:szCs w:val="28"/>
          <w:vertAlign w:val="baseline"/>
        </w:rPr>
        <w:t xml:space="preserve"> </w:t>
      </w:r>
      <w:r w:rsidRPr="000A044F">
        <w:rPr>
          <w:b w:val="0"/>
          <w:sz w:val="28"/>
          <w:szCs w:val="28"/>
          <w:vertAlign w:val="baseline"/>
        </w:rPr>
        <w:t>Антропогендік азғындаудың (деградация) салдарынан адвентивтік (қосымша) түрлердің таралуы нәтижесінде өсімдіктер жабынында адамдар арқылы таралатын өсімдіктер көбейеді. Яғни синантронпизация процесі басталады.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Адвентивтік түрлердің экспанциясы олардың популяцияларының үздіксіз артуы флораның табиғи даму процесімен қарама - қайшылыққа келеді.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Адвенттивтік өсімдіктер жергілікті өсімдіктер түрлеріне ортаның абиотикалық факторларын пайдалануға бәсекелес болады, өте жиі олармен будандасып агресивті қасиеттермен будандар (гибридтер) пайда болады.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Жоғары сатыдағы өсімдіктер флорасының құрамында пайдалы илік, дәрілік, малазықтық, техникалық, тағамдық, сәндік және басқа да түрлер бар.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Илік өсімдіктер - шикізаттық өсімдіктер ішіндегі толығырақ зерттелген. Көпжылдық зерттеулер нәтижесінде Қазақстанда практикада бағалы құрамында таниндер бар 20-дан астам түрлер анықталды олардың ішінде ең белгілілері: </w:t>
      </w:r>
      <w:r w:rsidRPr="000A044F">
        <w:rPr>
          <w:b w:val="0"/>
          <w:i/>
          <w:sz w:val="28"/>
          <w:szCs w:val="28"/>
          <w:vertAlign w:val="baseline"/>
        </w:rPr>
        <w:t>Polygonym coriarium</w:t>
      </w:r>
      <w:r w:rsidRPr="000A044F">
        <w:rPr>
          <w:b w:val="0"/>
          <w:sz w:val="28"/>
          <w:szCs w:val="28"/>
          <w:vertAlign w:val="baseline"/>
        </w:rPr>
        <w:t xml:space="preserve"> (горец дубильный - илік таран), </w:t>
      </w:r>
      <w:r w:rsidRPr="000A044F">
        <w:rPr>
          <w:b w:val="0"/>
          <w:i/>
          <w:sz w:val="28"/>
          <w:szCs w:val="28"/>
          <w:vertAlign w:val="baseline"/>
        </w:rPr>
        <w:t xml:space="preserve">Polygonum </w:t>
      </w:r>
      <w:r w:rsidRPr="000A044F">
        <w:rPr>
          <w:b w:val="0"/>
          <w:i/>
          <w:sz w:val="28"/>
          <w:szCs w:val="28"/>
          <w:vertAlign w:val="baseline"/>
        </w:rPr>
        <w:lastRenderedPageBreak/>
        <w:t xml:space="preserve">bucharicum </w:t>
      </w:r>
      <w:r w:rsidRPr="000A044F">
        <w:rPr>
          <w:b w:val="0"/>
          <w:sz w:val="28"/>
          <w:szCs w:val="28"/>
          <w:vertAlign w:val="baseline"/>
        </w:rPr>
        <w:t xml:space="preserve">(горец бухарский - бұхара тараны), </w:t>
      </w:r>
      <w:r w:rsidRPr="000A044F">
        <w:rPr>
          <w:b w:val="0"/>
          <w:i/>
          <w:sz w:val="28"/>
          <w:szCs w:val="28"/>
          <w:vertAlign w:val="baseline"/>
        </w:rPr>
        <w:t>Rumex tianschanicus</w:t>
      </w:r>
      <w:r w:rsidRPr="000A044F">
        <w:rPr>
          <w:b w:val="0"/>
          <w:sz w:val="28"/>
          <w:szCs w:val="28"/>
          <w:vertAlign w:val="baseline"/>
        </w:rPr>
        <w:t xml:space="preserve"> (щавель тяньшанский – Тянь - шань қымыздығы),  </w:t>
      </w:r>
      <w:r w:rsidRPr="000A044F">
        <w:rPr>
          <w:b w:val="0"/>
          <w:i/>
          <w:sz w:val="28"/>
          <w:szCs w:val="28"/>
          <w:vertAlign w:val="baseline"/>
        </w:rPr>
        <w:t>Rumex paulsenianus</w:t>
      </w:r>
      <w:r w:rsidRPr="000A044F">
        <w:rPr>
          <w:b w:val="0"/>
          <w:sz w:val="28"/>
          <w:szCs w:val="28"/>
          <w:vertAlign w:val="baseline"/>
        </w:rPr>
        <w:t xml:space="preserve"> (щавель Паульсена - пауельсен қымыздығы), </w:t>
      </w:r>
      <w:r w:rsidRPr="000A044F">
        <w:rPr>
          <w:b w:val="0"/>
          <w:i/>
          <w:sz w:val="28"/>
          <w:szCs w:val="28"/>
          <w:vertAlign w:val="baseline"/>
        </w:rPr>
        <w:t>Rheum tatаricum</w:t>
      </w:r>
      <w:r w:rsidRPr="000A044F">
        <w:rPr>
          <w:b w:val="0"/>
          <w:sz w:val="28"/>
          <w:szCs w:val="28"/>
          <w:vertAlign w:val="baseline"/>
        </w:rPr>
        <w:t xml:space="preserve"> (ревень татарский - түйе жапырақ татар рауғашы), </w:t>
      </w:r>
      <w:r w:rsidRPr="000A044F">
        <w:rPr>
          <w:b w:val="0"/>
          <w:i/>
          <w:sz w:val="28"/>
          <w:szCs w:val="28"/>
          <w:vertAlign w:val="baseline"/>
        </w:rPr>
        <w:t>Rheum maximowozii</w:t>
      </w:r>
      <w:r w:rsidRPr="000A044F">
        <w:rPr>
          <w:b w:val="0"/>
          <w:sz w:val="28"/>
          <w:szCs w:val="28"/>
          <w:vertAlign w:val="baseline"/>
        </w:rPr>
        <w:t xml:space="preserve"> (ревень Максимовича - максимович рауғашы). Бұл өсімдіктер құрғақ тамырларының қоры 200 мың тонна шамасында.</w:t>
      </w:r>
    </w:p>
    <w:p w:rsidR="000A044F" w:rsidRPr="000A044F" w:rsidRDefault="000A044F" w:rsidP="000A044F">
      <w:pPr>
        <w:spacing w:after="0" w:line="240" w:lineRule="auto"/>
        <w:ind w:firstLine="709"/>
        <w:jc w:val="center"/>
        <w:rPr>
          <w:b w:val="0"/>
          <w:sz w:val="28"/>
          <w:szCs w:val="28"/>
          <w:vertAlign w:val="baseline"/>
        </w:rPr>
      </w:pPr>
      <w:r w:rsidRPr="000A044F">
        <w:rPr>
          <w:b w:val="0"/>
          <w:sz w:val="28"/>
          <w:szCs w:val="28"/>
          <w:vertAlign w:val="baseline"/>
        </w:rPr>
        <w:t>Комплексті пайдаланылатын техникалық өсімдіктер.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Ең белгілі маңызды комплексті пайдаланылатын техникалық өсімдіктерге </w:t>
      </w:r>
      <w:r w:rsidRPr="000A044F">
        <w:rPr>
          <w:b w:val="0"/>
          <w:i/>
          <w:sz w:val="28"/>
          <w:szCs w:val="28"/>
          <w:vertAlign w:val="baseline"/>
        </w:rPr>
        <w:t>Phragmytes australis</w:t>
      </w:r>
      <w:r w:rsidRPr="000A044F">
        <w:rPr>
          <w:b w:val="0"/>
          <w:sz w:val="28"/>
          <w:szCs w:val="28"/>
          <w:vertAlign w:val="baseline"/>
        </w:rPr>
        <w:t xml:space="preserve"> (тростик - қамыс), және </w:t>
      </w:r>
      <w:r w:rsidRPr="000A044F">
        <w:rPr>
          <w:b w:val="0"/>
          <w:i/>
          <w:sz w:val="28"/>
          <w:szCs w:val="28"/>
          <w:vertAlign w:val="baseline"/>
        </w:rPr>
        <w:t xml:space="preserve">Achnatherum splendens </w:t>
      </w:r>
      <w:r w:rsidRPr="000A044F">
        <w:rPr>
          <w:b w:val="0"/>
          <w:sz w:val="28"/>
          <w:szCs w:val="28"/>
          <w:vertAlign w:val="baseline"/>
        </w:rPr>
        <w:t>(Чий блестящий - Ақ ший) жатқызуға болады.</w:t>
      </w:r>
    </w:p>
    <w:p w:rsidR="000A044F" w:rsidRPr="000A044F" w:rsidRDefault="000A044F" w:rsidP="000A044F">
      <w:pPr>
        <w:pStyle w:val="a4"/>
        <w:ind w:firstLine="709"/>
        <w:rPr>
          <w:rFonts w:ascii="Times New Roman" w:hAnsi="Times New Roman"/>
          <w:szCs w:val="28"/>
          <w:lang w:val="kk-KZ"/>
        </w:rPr>
      </w:pPr>
      <w:r w:rsidRPr="000A044F">
        <w:rPr>
          <w:rFonts w:ascii="Times New Roman" w:hAnsi="Times New Roman"/>
          <w:szCs w:val="28"/>
          <w:lang w:val="kk-KZ"/>
        </w:rPr>
        <w:t>Қамыстың қалың болып өсетін аудандары мөлшері соңғы жылдары 7 есе азайып кетті және қазіргі уақытта оның ресурсы құрғақ шикізаты шамамен 2352 мың тонна шамасында. Ал Ақ шийдің ресурстары құрғақ шикізаты 23735 тонна шамасында болады.</w:t>
      </w:r>
    </w:p>
    <w:p w:rsidR="000A044F" w:rsidRPr="000A044F" w:rsidRDefault="000A044F" w:rsidP="000A044F">
      <w:pPr>
        <w:pStyle w:val="4"/>
        <w:ind w:left="0" w:firstLine="709"/>
        <w:rPr>
          <w:rFonts w:ascii="Times New Roman" w:hAnsi="Times New Roman"/>
          <w:b w:val="0"/>
          <w:szCs w:val="28"/>
          <w:lang w:val="kk-KZ"/>
        </w:rPr>
      </w:pPr>
      <w:r w:rsidRPr="000A044F">
        <w:rPr>
          <w:rFonts w:ascii="Times New Roman" w:hAnsi="Times New Roman"/>
          <w:b w:val="0"/>
          <w:szCs w:val="28"/>
          <w:lang w:val="kk-KZ"/>
        </w:rPr>
        <w:t>Тағамдық өсімдіктер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Тағамдық өсімдіктер ішінде ең маңыздылары </w:t>
      </w:r>
      <w:r w:rsidRPr="000A044F">
        <w:rPr>
          <w:b w:val="0"/>
          <w:i/>
          <w:sz w:val="28"/>
          <w:szCs w:val="28"/>
          <w:vertAlign w:val="baseline"/>
        </w:rPr>
        <w:t>Malus sieversii</w:t>
      </w:r>
      <w:r w:rsidRPr="000A044F">
        <w:rPr>
          <w:b w:val="0"/>
          <w:sz w:val="28"/>
          <w:szCs w:val="28"/>
          <w:vertAlign w:val="baseline"/>
        </w:rPr>
        <w:t xml:space="preserve"> (яблоня Сиверса - Сиверс алмасы), </w:t>
      </w:r>
      <w:r w:rsidRPr="000A044F">
        <w:rPr>
          <w:b w:val="0"/>
          <w:i/>
          <w:sz w:val="28"/>
          <w:szCs w:val="28"/>
          <w:vertAlign w:val="baseline"/>
        </w:rPr>
        <w:t>Armeniaca vulgaris</w:t>
      </w:r>
      <w:r w:rsidRPr="000A044F">
        <w:rPr>
          <w:b w:val="0"/>
          <w:sz w:val="28"/>
          <w:szCs w:val="28"/>
          <w:vertAlign w:val="baseline"/>
        </w:rPr>
        <w:t xml:space="preserve"> (абрикос обыкновенный -кәдімгі өрік), </w:t>
      </w:r>
      <w:r w:rsidRPr="000A044F">
        <w:rPr>
          <w:b w:val="0"/>
          <w:i/>
          <w:sz w:val="28"/>
          <w:szCs w:val="28"/>
          <w:vertAlign w:val="baseline"/>
        </w:rPr>
        <w:t>Crataegus</w:t>
      </w:r>
      <w:r w:rsidRPr="000A044F">
        <w:rPr>
          <w:b w:val="0"/>
          <w:sz w:val="28"/>
          <w:szCs w:val="28"/>
          <w:vertAlign w:val="baseline"/>
        </w:rPr>
        <w:t xml:space="preserve"> (боярышник - Долана), </w:t>
      </w:r>
      <w:r w:rsidRPr="000A044F">
        <w:rPr>
          <w:b w:val="0"/>
          <w:i/>
          <w:sz w:val="28"/>
          <w:szCs w:val="28"/>
          <w:vertAlign w:val="baseline"/>
        </w:rPr>
        <w:t>Berberis</w:t>
      </w:r>
      <w:r w:rsidRPr="000A044F">
        <w:rPr>
          <w:b w:val="0"/>
          <w:sz w:val="28"/>
          <w:szCs w:val="28"/>
          <w:vertAlign w:val="baseline"/>
        </w:rPr>
        <w:t xml:space="preserve"> (барбарис -бөріқарақат) жыл сайын орман шаруашылығы ұжымдары 300 тонна шамасында алма, өрік және долана жемістерін дайындайды.</w:t>
      </w:r>
    </w:p>
    <w:p w:rsidR="000A044F" w:rsidRPr="000A044F" w:rsidRDefault="000A044F" w:rsidP="000A044F">
      <w:pPr>
        <w:spacing w:after="0" w:line="240" w:lineRule="auto"/>
        <w:ind w:firstLine="709"/>
        <w:jc w:val="center"/>
        <w:rPr>
          <w:b w:val="0"/>
          <w:sz w:val="28"/>
          <w:szCs w:val="28"/>
          <w:vertAlign w:val="baseline"/>
        </w:rPr>
      </w:pPr>
      <w:r w:rsidRPr="000A044F">
        <w:rPr>
          <w:b w:val="0"/>
          <w:sz w:val="28"/>
          <w:szCs w:val="28"/>
          <w:vertAlign w:val="baseline"/>
        </w:rPr>
        <w:t>Эфир майлы өсімдіктер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Зерттелген 450 өсімдіктер түрлерінен 70 шақты түрлері құрамындағы майларының құрамына байланысты маңызды және болашағы бар деп айтуға болады. Олардың ішінде </w:t>
      </w:r>
      <w:r w:rsidRPr="000A044F">
        <w:rPr>
          <w:b w:val="0"/>
          <w:i/>
          <w:sz w:val="28"/>
          <w:szCs w:val="28"/>
          <w:vertAlign w:val="baseline"/>
        </w:rPr>
        <w:t>Artemisia</w:t>
      </w:r>
      <w:r w:rsidRPr="000A044F">
        <w:rPr>
          <w:b w:val="0"/>
          <w:sz w:val="28"/>
          <w:szCs w:val="28"/>
          <w:vertAlign w:val="baseline"/>
        </w:rPr>
        <w:t xml:space="preserve"> (полынь - жусан), </w:t>
      </w:r>
      <w:r w:rsidRPr="000A044F">
        <w:rPr>
          <w:b w:val="0"/>
          <w:i/>
          <w:sz w:val="28"/>
          <w:szCs w:val="28"/>
          <w:vertAlign w:val="baseline"/>
        </w:rPr>
        <w:t>Hyssopus</w:t>
      </w:r>
      <w:r w:rsidRPr="000A044F">
        <w:rPr>
          <w:b w:val="0"/>
          <w:sz w:val="28"/>
          <w:szCs w:val="28"/>
          <w:vertAlign w:val="baseline"/>
        </w:rPr>
        <w:t xml:space="preserve"> (иссоп - сайсағыз ), </w:t>
      </w:r>
      <w:r w:rsidRPr="000A044F">
        <w:rPr>
          <w:b w:val="0"/>
          <w:i/>
          <w:sz w:val="28"/>
          <w:szCs w:val="28"/>
          <w:vertAlign w:val="baseline"/>
        </w:rPr>
        <w:t>Mentha</w:t>
      </w:r>
      <w:r w:rsidRPr="000A044F">
        <w:rPr>
          <w:b w:val="0"/>
          <w:sz w:val="28"/>
          <w:szCs w:val="28"/>
          <w:vertAlign w:val="baseline"/>
        </w:rPr>
        <w:t xml:space="preserve"> (мята - жалбыз ), </w:t>
      </w:r>
      <w:r w:rsidRPr="000A044F">
        <w:rPr>
          <w:b w:val="0"/>
          <w:i/>
          <w:sz w:val="28"/>
          <w:szCs w:val="28"/>
          <w:vertAlign w:val="baseline"/>
        </w:rPr>
        <w:t xml:space="preserve">Achillea </w:t>
      </w:r>
      <w:r w:rsidRPr="000A044F">
        <w:rPr>
          <w:b w:val="0"/>
          <w:sz w:val="28"/>
          <w:szCs w:val="28"/>
          <w:vertAlign w:val="baseline"/>
        </w:rPr>
        <w:t>(тысячелистник - мыңжапырақ) және т.б. бар.</w:t>
      </w:r>
    </w:p>
    <w:p w:rsidR="000A044F" w:rsidRPr="000A044F" w:rsidRDefault="000A044F" w:rsidP="000A044F">
      <w:pPr>
        <w:pStyle w:val="3"/>
        <w:ind w:firstLine="709"/>
        <w:jc w:val="center"/>
        <w:rPr>
          <w:rFonts w:ascii="Times New Roman" w:hAnsi="Times New Roman"/>
          <w:b w:val="0"/>
          <w:szCs w:val="28"/>
          <w:lang w:val="kk-KZ"/>
        </w:rPr>
      </w:pPr>
      <w:r w:rsidRPr="000A044F">
        <w:rPr>
          <w:rFonts w:ascii="Times New Roman" w:hAnsi="Times New Roman"/>
          <w:b w:val="0"/>
          <w:szCs w:val="28"/>
          <w:lang w:val="kk-KZ"/>
        </w:rPr>
        <w:t>Дәрілік өсімдіктер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Негізгі дәрілік өсімдіктердің ресурстары (80</w:t>
      </w:r>
      <w:r w:rsidRPr="000A044F">
        <w:rPr>
          <w:b w:val="0"/>
          <w:sz w:val="28"/>
          <w:szCs w:val="28"/>
          <w:vertAlign w:val="baseline"/>
        </w:rPr>
        <w:sym w:font="Symbol" w:char="F025"/>
      </w:r>
      <w:r w:rsidRPr="000A044F">
        <w:rPr>
          <w:b w:val="0"/>
          <w:sz w:val="28"/>
          <w:szCs w:val="28"/>
          <w:vertAlign w:val="baseline"/>
        </w:rPr>
        <w:t xml:space="preserve">) Іле Алатауы, Кетмень, Кунгей, Теріскей Алатауы, Жоңғар Алатауы, Қырғыз боралдайтауы, Алтай және Тарбағатай жоталырында шоғырланған. Кейбір дәрілік өсімдіктерді Қазақстан экспортқа шығара алады. Мысалы </w:t>
      </w:r>
      <w:r w:rsidRPr="000A044F">
        <w:rPr>
          <w:b w:val="0"/>
          <w:i/>
          <w:sz w:val="28"/>
          <w:szCs w:val="28"/>
          <w:vertAlign w:val="baseline"/>
        </w:rPr>
        <w:t>Ephedra equisetina</w:t>
      </w:r>
      <w:r w:rsidRPr="000A044F">
        <w:rPr>
          <w:b w:val="0"/>
          <w:sz w:val="28"/>
          <w:szCs w:val="28"/>
          <w:vertAlign w:val="baseline"/>
        </w:rPr>
        <w:t xml:space="preserve"> (эфедра хвощевая - хвойник хвощевой-қырықбуын), </w:t>
      </w:r>
      <w:r w:rsidRPr="000A044F">
        <w:rPr>
          <w:b w:val="0"/>
          <w:i/>
          <w:sz w:val="28"/>
          <w:szCs w:val="28"/>
          <w:vertAlign w:val="baseline"/>
        </w:rPr>
        <w:t>Glycyrrhiza glabra</w:t>
      </w:r>
      <w:r w:rsidRPr="000A044F">
        <w:rPr>
          <w:b w:val="0"/>
          <w:sz w:val="28"/>
          <w:szCs w:val="28"/>
          <w:vertAlign w:val="baseline"/>
        </w:rPr>
        <w:t xml:space="preserve"> (солодка голая - жалаң мия), </w:t>
      </w:r>
      <w:r w:rsidRPr="000A044F">
        <w:rPr>
          <w:b w:val="0"/>
          <w:i/>
          <w:sz w:val="28"/>
          <w:szCs w:val="28"/>
          <w:vertAlign w:val="baseline"/>
        </w:rPr>
        <w:t>Glycyrrhiza uralensis</w:t>
      </w:r>
      <w:r w:rsidRPr="000A044F">
        <w:rPr>
          <w:b w:val="0"/>
          <w:sz w:val="28"/>
          <w:szCs w:val="28"/>
          <w:vertAlign w:val="baseline"/>
        </w:rPr>
        <w:t xml:space="preserve"> (солодка уральская - орал миясы) өсімдіктерінің Қазақстандағы ресурсы (қоры) 75 мың тонна шамасында, сондықтан жоғарыда аталған өсімдіктер шикізатын шет елдерге шығаруға толық болады.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 xml:space="preserve">Республикамыздағы Орман Массивтерінің маңызы өте үлкен. Бұл табиғи жүйелер 21,6 млн гектар жерді алып жатыр, олардың 10,9 млн гектары тұтас ормандар. Ол ормандар 69 ағаш 700 бұта және жартылай бұталар түрлерінен тұрады Жалпы Қазақстанда орманды алқаптың еншісінде болғаны 3,2 </w:t>
      </w:r>
      <w:r w:rsidRPr="000A044F">
        <w:rPr>
          <w:b w:val="0"/>
          <w:sz w:val="28"/>
          <w:szCs w:val="28"/>
          <w:vertAlign w:val="baseline"/>
        </w:rPr>
        <w:sym w:font="Symbol" w:char="F025"/>
      </w:r>
      <w:r w:rsidRPr="000A044F">
        <w:rPr>
          <w:b w:val="0"/>
          <w:sz w:val="28"/>
          <w:szCs w:val="28"/>
          <w:vertAlign w:val="baseline"/>
        </w:rPr>
        <w:t xml:space="preserve"> бірақта олар биологиялық ресурстар қалыптасуында үлкен роль атқарады.</w:t>
      </w:r>
    </w:p>
    <w:p w:rsidR="000A044F" w:rsidRPr="000A044F" w:rsidRDefault="000A044F" w:rsidP="000A044F">
      <w:pPr>
        <w:spacing w:after="0" w:line="240" w:lineRule="auto"/>
        <w:ind w:firstLine="709"/>
        <w:jc w:val="center"/>
        <w:rPr>
          <w:b w:val="0"/>
          <w:sz w:val="28"/>
          <w:szCs w:val="28"/>
          <w:vertAlign w:val="baseline"/>
        </w:rPr>
      </w:pPr>
      <w:r w:rsidRPr="000A044F">
        <w:rPr>
          <w:b w:val="0"/>
          <w:sz w:val="28"/>
          <w:szCs w:val="28"/>
          <w:vertAlign w:val="baseline"/>
        </w:rPr>
        <w:t>Өсімдіктердің биологиялық алуан түрлілігі.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lastRenderedPageBreak/>
        <w:t xml:space="preserve">Биологиялық алуан түрлілік өсімдіктер және жануарлар түрлерінің тізімімен шектелмейді. </w:t>
      </w:r>
      <w:bookmarkStart w:id="0" w:name="_GoBack"/>
      <w:bookmarkEnd w:id="0"/>
      <w:r w:rsidR="00E42698" w:rsidRPr="00E42698">
        <w:rPr>
          <w:b w:val="0"/>
          <w:sz w:val="28"/>
          <w:szCs w:val="28"/>
          <w:vertAlign w:val="baseline"/>
        </w:rPr>
        <w:t>Биотоп</w:t>
      </w:r>
      <w:r w:rsidRPr="000A044F">
        <w:rPr>
          <w:b w:val="0"/>
          <w:sz w:val="28"/>
          <w:szCs w:val="28"/>
          <w:vertAlign w:val="baseline"/>
        </w:rPr>
        <w:t xml:space="preserve"> туралы түсінік алу үшін өсімдіктер жабынының алуан түрлілігі туралы білу керек.</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Өсімдіктер жабынын өсімдіктер қауымы деңгейінде инвентаризациялау территорияның кең байтақтығына және табиғаттың алуан түрлілігіне байланысты өте күрделі.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Өсімдіктердің алуан түрлілігінің жағдайы зоналық аспектіде қаралады. Қазақстанда өсімдіктер жабынының алуан түрлілігін ерекше атап өтуге болады. (Дала, шөлдер, орман, шалғындық, бұталы тоғайлар, биік таулардағы, тундралар және т.б)</w:t>
      </w:r>
    </w:p>
    <w:p w:rsidR="000A044F" w:rsidRPr="000A044F" w:rsidRDefault="000A044F" w:rsidP="000A044F">
      <w:pPr>
        <w:pStyle w:val="2"/>
        <w:ind w:firstLine="709"/>
        <w:rPr>
          <w:b w:val="0"/>
          <w:szCs w:val="28"/>
        </w:rPr>
      </w:pPr>
      <w:r w:rsidRPr="000A044F">
        <w:rPr>
          <w:b w:val="0"/>
          <w:szCs w:val="28"/>
        </w:rPr>
        <w:t>Дала</w:t>
      </w:r>
    </w:p>
    <w:p w:rsid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Далалар зонасы жалпы мөлшері 128,8 млн гектар немесе бүкіл Қазақстан территориясының 40</w:t>
      </w:r>
      <w:r w:rsidRPr="000A044F">
        <w:rPr>
          <w:b w:val="0"/>
          <w:sz w:val="28"/>
          <w:szCs w:val="28"/>
          <w:vertAlign w:val="baseline"/>
        </w:rPr>
        <w:sym w:font="Symbol" w:char="F025"/>
      </w:r>
      <w:r w:rsidRPr="000A044F">
        <w:rPr>
          <w:b w:val="0"/>
          <w:sz w:val="28"/>
          <w:szCs w:val="28"/>
          <w:vertAlign w:val="baseline"/>
        </w:rPr>
        <w:t xml:space="preserve"> алып жатыр. Бұл зона әртү</w:t>
      </w:r>
      <w:r>
        <w:rPr>
          <w:b w:val="0"/>
          <w:sz w:val="28"/>
          <w:szCs w:val="28"/>
          <w:vertAlign w:val="baseline"/>
        </w:rPr>
        <w:t>рлі зона тармақтарына бөлінеді: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1) Шалғынды дала және майда жапырақты ормандар ауданы – 0,6 млн гектар: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2) Қоңыржай – қуаң мол әртүрлі шөпті қаулы далалар - 8,5 млн гектар;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3) әртүрлі шөпті қаулы далалар - 13,6 млн гектар;</w:t>
      </w:r>
    </w:p>
    <w:p w:rsidR="000A044F" w:rsidRPr="000A044F" w:rsidRDefault="000A044F" w:rsidP="000A044F">
      <w:pPr>
        <w:numPr>
          <w:ilvl w:val="0"/>
          <w:numId w:val="1"/>
        </w:numPr>
        <w:spacing w:after="0" w:line="240" w:lineRule="auto"/>
        <w:ind w:left="0" w:firstLine="709"/>
        <w:jc w:val="both"/>
        <w:rPr>
          <w:b w:val="0"/>
          <w:sz w:val="28"/>
          <w:szCs w:val="28"/>
          <w:vertAlign w:val="baseline"/>
        </w:rPr>
      </w:pPr>
      <w:r w:rsidRPr="000A044F">
        <w:rPr>
          <w:b w:val="0"/>
          <w:sz w:val="28"/>
          <w:szCs w:val="28"/>
          <w:vertAlign w:val="baseline"/>
        </w:rPr>
        <w:t>Құрғақ бетегелі - қаулы далалар - 52 млн гектар.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Солтүстік және Орталық Қазақстанның өсімдіктер картасында далалық қауымдардың әртүрлі комбинацияларының 250 шамасында типтері келтірілген. Қазақстан далаларында кең таралған 10 формация анықталған. Далалық аймақта 200-ге жуық ассоцация сипатталған, бірақ қауымдар деңгейінде инвентаризация жүргізу жұмыстары әлі толық біткен жоқ.</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Қазақстанда адамдардың тіршілігінің нәтижесінде ең өзгерген регион ол дала аймағы тың жерлерді игеру барысында (1954 - 1960 ж) жерлерді кең масштабтты жырту нәтижесінде негізгі қыраттардағы далалық жерлер жойылды. Орманды далада барлық шалғындық далалар және мол әртүрлі шөпті қаулы далалардың 90</w:t>
      </w:r>
      <w:r w:rsidRPr="000A044F">
        <w:rPr>
          <w:b w:val="0"/>
          <w:sz w:val="28"/>
          <w:szCs w:val="28"/>
          <w:vertAlign w:val="baseline"/>
        </w:rPr>
        <w:sym w:font="Symbol" w:char="F025"/>
      </w:r>
      <w:r w:rsidRPr="000A044F">
        <w:rPr>
          <w:b w:val="0"/>
          <w:sz w:val="28"/>
          <w:szCs w:val="28"/>
          <w:vertAlign w:val="baseline"/>
        </w:rPr>
        <w:t xml:space="preserve"> жыртылды, тегістіктегі далардың 30</w:t>
      </w:r>
      <w:r w:rsidRPr="000A044F">
        <w:rPr>
          <w:b w:val="0"/>
          <w:sz w:val="28"/>
          <w:szCs w:val="28"/>
          <w:vertAlign w:val="baseline"/>
        </w:rPr>
        <w:sym w:font="Symbol" w:char="F025"/>
      </w:r>
      <w:r w:rsidRPr="000A044F">
        <w:rPr>
          <w:b w:val="0"/>
          <w:sz w:val="28"/>
          <w:szCs w:val="28"/>
          <w:vertAlign w:val="baseline"/>
        </w:rPr>
        <w:t xml:space="preserve"> жыртылды. Тегістіктегі территориялардағы құрғақ далалардың 50 - 60</w:t>
      </w:r>
      <w:r w:rsidRPr="000A044F">
        <w:rPr>
          <w:b w:val="0"/>
          <w:sz w:val="28"/>
          <w:szCs w:val="28"/>
          <w:vertAlign w:val="baseline"/>
        </w:rPr>
        <w:sym w:font="Symbol" w:char="F025"/>
      </w:r>
      <w:r w:rsidRPr="000A044F">
        <w:rPr>
          <w:b w:val="0"/>
          <w:sz w:val="28"/>
          <w:szCs w:val="28"/>
          <w:vertAlign w:val="baseline"/>
        </w:rPr>
        <w:t xml:space="preserve"> жыртылды, ал майда шоқылардағы далалардың 10 - 15</w:t>
      </w:r>
      <w:r w:rsidRPr="000A044F">
        <w:rPr>
          <w:b w:val="0"/>
          <w:sz w:val="28"/>
          <w:szCs w:val="28"/>
          <w:vertAlign w:val="baseline"/>
        </w:rPr>
        <w:sym w:font="Symbol" w:char="F025"/>
      </w:r>
      <w:r w:rsidRPr="000A044F">
        <w:rPr>
          <w:b w:val="0"/>
          <w:sz w:val="28"/>
          <w:szCs w:val="28"/>
          <w:vertAlign w:val="baseline"/>
        </w:rPr>
        <w:t xml:space="preserve"> жыртылады.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Бұл аймақтарда қалған далалық учаскелер (тасты далалар, тұзды топырақтардағы комплексті далалар) малдарды шектен артық жайдың нәтижесінде өзгерген. Бұл региондардың қаулы далалары бетегелі австрия жусанды әртүрлі арамшөпті қауымға айналған және оларда алуан түрлілік айтарлықтай азайған.</w:t>
      </w:r>
    </w:p>
    <w:p w:rsidR="000A044F" w:rsidRPr="000A044F" w:rsidRDefault="000A044F" w:rsidP="000A044F">
      <w:pPr>
        <w:spacing w:after="0" w:line="240" w:lineRule="auto"/>
        <w:ind w:firstLine="709"/>
        <w:jc w:val="both"/>
        <w:rPr>
          <w:b w:val="0"/>
          <w:sz w:val="28"/>
          <w:szCs w:val="28"/>
          <w:vertAlign w:val="baseline"/>
        </w:rPr>
      </w:pPr>
    </w:p>
    <w:p w:rsidR="000A044F" w:rsidRPr="000A044F" w:rsidRDefault="000A044F" w:rsidP="000A044F">
      <w:pPr>
        <w:pStyle w:val="2"/>
        <w:ind w:firstLine="709"/>
        <w:rPr>
          <w:b w:val="0"/>
          <w:szCs w:val="28"/>
        </w:rPr>
      </w:pPr>
      <w:r w:rsidRPr="000A044F">
        <w:rPr>
          <w:b w:val="0"/>
          <w:szCs w:val="28"/>
        </w:rPr>
        <w:t>Шөлдер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Шөлдер аймағының өте созылыңқы екендігіне байланысты шөлдердің ендіктегі ауысуларын көруге болады: Солтүстік далаланған, астықтұқымдасты, - жартылай бұталы (ауданы 57,3 млн гектар) ортадағы нағыз жартылай бұталы және оңтүстік жартылай бұталы және бұталы (ауданы 61,8 млн гектар)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lastRenderedPageBreak/>
        <w:t>Таулар массивтерінің шеттерінде өсімдіктер жабындарының ерекше бірегей типтерін кездестріруге болады. Эфемеройдты - астық тұқымдасты, жартылай - бұташалы, мол эфемеройдты - астықтұқымдасты, жартылай бұташалы және эфемеройты - бұталы, солармен қатар Батыс Тянь-Шань және Қаратаудың оңтүстігін қоршаған жазықтықта ерекше қуаңшылық типті өсімдіктер жабыны - жартылай бұталы - эфемеройдтар қауымы таралған. Олардың әдебиеттегі аттары жартылай саванна, саванна және т.б. барлық тау етектеріндегі өсімдіктер жабындары типтерінің ауданы 12,7 млн гектар.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Өсімдіктердің шөлдердегі типтерінде 120 формация бар екендігі туралы мәліметтер бар. Қазіргі кезге дейін 300 шамасында шөлдер қауымдары сипатталған соңғы мәліметтер бойынша шөлдерде өсімдіктер қауымдарының 400-ге жуық типтері бар екендігі туралы айтылады.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Өсімдіктердің қазіргі жағдайы және олардың биологиялық алуан түрлілігінің әлсіреуі шөлдердің әртүрлі тармақтарында бір деңгейде жүрмейді. Негізінен жусанды солтүстік шөлдері өте жақсы жайлымдықтар болғандықтан қыстаулардың ауыл - селолардың айналасында, ошақтық шектен тыс мал жайылуы байқалады.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Ортадағы және Оңтүстік шөлдерде шектен тыс мал жайуға қосымша өсімдік жабындарының бұзылуы әртүрлі техногендік (мұнай, газ өндіру, шөп салу және т.б) факторларға байланысты.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Тау етектеріндегі өсімдіктер жабындарының бұзылуы айтарлықтай жүруде. Соның нәтижесінде өзіндік ерекшелігі бар Қазақстандық эфемеройдты жусандар шөлдері жойылып кетті деуге болады. Бұл негізінен суарылатын егін шаруашылығы және шектен тыс мал жайылатын аудандар, сондықтан халықтар көбірек шоғырланған.</w:t>
      </w:r>
    </w:p>
    <w:p w:rsidR="000A044F" w:rsidRPr="000A044F" w:rsidRDefault="000A044F" w:rsidP="000A044F">
      <w:pPr>
        <w:pStyle w:val="4"/>
        <w:ind w:left="0" w:firstLine="709"/>
        <w:rPr>
          <w:rFonts w:ascii="Times New Roman" w:hAnsi="Times New Roman"/>
          <w:b w:val="0"/>
          <w:szCs w:val="28"/>
          <w:lang w:val="kk-KZ"/>
        </w:rPr>
      </w:pPr>
      <w:r w:rsidRPr="000A044F">
        <w:rPr>
          <w:rFonts w:ascii="Times New Roman" w:hAnsi="Times New Roman"/>
          <w:b w:val="0"/>
          <w:szCs w:val="28"/>
          <w:lang w:val="kk-KZ"/>
        </w:rPr>
        <w:t>Ормандар</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Ормандар массиві негізінен Алтай Тянь-Шань тауларында және кейбір жеке массивтер Солтүстік Қазақстандағы жазықтықта және ұсақ шоқыларда таралған.</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Қазақстандағы ормандардың жалпы ауданы 24568,2 мың гектар. Орманмен толық жабылған территория 10503,6 мың гектар. Қазақстанда орманды жер 3,2. Орманмен нақты жабылған жерлер құрамында: Сексеул (</w:t>
      </w:r>
      <w:r w:rsidRPr="000A044F">
        <w:rPr>
          <w:b w:val="0"/>
          <w:i/>
          <w:sz w:val="28"/>
          <w:szCs w:val="28"/>
          <w:vertAlign w:val="baseline"/>
        </w:rPr>
        <w:t xml:space="preserve">Haloxуlon </w:t>
      </w:r>
      <w:r w:rsidRPr="000A044F">
        <w:rPr>
          <w:b w:val="0"/>
          <w:sz w:val="28"/>
          <w:szCs w:val="28"/>
          <w:vertAlign w:val="baseline"/>
        </w:rPr>
        <w:t>- саксаул) 5 млн гектар, қарағай (</w:t>
      </w:r>
      <w:r w:rsidRPr="000A044F">
        <w:rPr>
          <w:b w:val="0"/>
          <w:i/>
          <w:sz w:val="28"/>
          <w:szCs w:val="28"/>
          <w:vertAlign w:val="baseline"/>
        </w:rPr>
        <w:t xml:space="preserve">Pinus </w:t>
      </w:r>
      <w:r w:rsidRPr="000A044F">
        <w:rPr>
          <w:b w:val="0"/>
          <w:sz w:val="28"/>
          <w:szCs w:val="28"/>
          <w:vertAlign w:val="baseline"/>
        </w:rPr>
        <w:t>- сосна), - 963 мың гектар Қайың (</w:t>
      </w:r>
      <w:r w:rsidRPr="000A044F">
        <w:rPr>
          <w:b w:val="0"/>
          <w:i/>
          <w:sz w:val="28"/>
          <w:szCs w:val="28"/>
          <w:vertAlign w:val="baseline"/>
        </w:rPr>
        <w:t xml:space="preserve">Betula </w:t>
      </w:r>
      <w:r w:rsidRPr="000A044F">
        <w:rPr>
          <w:b w:val="0"/>
          <w:sz w:val="28"/>
          <w:szCs w:val="28"/>
          <w:vertAlign w:val="baseline"/>
        </w:rPr>
        <w:t>- береза) - 900 мың гектар, Самырсын (</w:t>
      </w:r>
      <w:r w:rsidRPr="000A044F">
        <w:rPr>
          <w:b w:val="0"/>
          <w:i/>
          <w:sz w:val="28"/>
          <w:szCs w:val="28"/>
          <w:vertAlign w:val="baseline"/>
        </w:rPr>
        <w:t xml:space="preserve">Abies </w:t>
      </w:r>
      <w:r w:rsidRPr="000A044F">
        <w:rPr>
          <w:b w:val="0"/>
          <w:sz w:val="28"/>
          <w:szCs w:val="28"/>
          <w:vertAlign w:val="baseline"/>
        </w:rPr>
        <w:t>- Пихта) - 384 мың гектар, Көктерек (</w:t>
      </w:r>
      <w:r w:rsidRPr="000A044F">
        <w:rPr>
          <w:b w:val="0"/>
          <w:i/>
          <w:sz w:val="28"/>
          <w:szCs w:val="28"/>
          <w:vertAlign w:val="baseline"/>
        </w:rPr>
        <w:t xml:space="preserve">Populus tremula </w:t>
      </w:r>
      <w:r w:rsidRPr="000A044F">
        <w:rPr>
          <w:b w:val="0"/>
          <w:sz w:val="28"/>
          <w:szCs w:val="28"/>
          <w:vertAlign w:val="baseline"/>
        </w:rPr>
        <w:t>- осина) - 296,8 мың гектар, Балқарағай (</w:t>
      </w:r>
      <w:r w:rsidRPr="000A044F">
        <w:rPr>
          <w:b w:val="0"/>
          <w:i/>
          <w:sz w:val="28"/>
          <w:szCs w:val="28"/>
          <w:vertAlign w:val="baseline"/>
        </w:rPr>
        <w:t>Larix</w:t>
      </w:r>
      <w:r w:rsidRPr="000A044F">
        <w:rPr>
          <w:b w:val="0"/>
          <w:sz w:val="28"/>
          <w:szCs w:val="28"/>
          <w:vertAlign w:val="baseline"/>
        </w:rPr>
        <w:t>-лиственница) - 175 мың гектар, Шыршалар (Picea - Ель) - 168,2 мың гектар, Сібір қарағайы (</w:t>
      </w:r>
      <w:r w:rsidRPr="000A044F">
        <w:rPr>
          <w:b w:val="0"/>
          <w:i/>
          <w:sz w:val="28"/>
          <w:szCs w:val="28"/>
          <w:vertAlign w:val="baseline"/>
        </w:rPr>
        <w:t xml:space="preserve">Picea sibirica </w:t>
      </w:r>
      <w:r w:rsidRPr="000A044F">
        <w:rPr>
          <w:b w:val="0"/>
          <w:sz w:val="28"/>
          <w:szCs w:val="28"/>
          <w:vertAlign w:val="baseline"/>
        </w:rPr>
        <w:t>– Сосна - кедровая) – 43,3 мың гектар. Ормандардың 13337,4 мың гектары ұзақ уақыт пайдалануға берілген.</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Орманды дала аймағының ормандарын түзушілер негізінен Қотыр қайың (</w:t>
      </w:r>
      <w:r w:rsidRPr="000A044F">
        <w:rPr>
          <w:b w:val="0"/>
          <w:i/>
          <w:sz w:val="28"/>
          <w:szCs w:val="28"/>
          <w:vertAlign w:val="baseline"/>
        </w:rPr>
        <w:t xml:space="preserve">Betula pendula </w:t>
      </w:r>
      <w:r w:rsidRPr="000A044F">
        <w:rPr>
          <w:b w:val="0"/>
          <w:sz w:val="28"/>
          <w:szCs w:val="28"/>
          <w:vertAlign w:val="baseline"/>
        </w:rPr>
        <w:t>- Береза борoдавчатая), Үлкен қайың (</w:t>
      </w:r>
      <w:r w:rsidRPr="000A044F">
        <w:rPr>
          <w:b w:val="0"/>
          <w:i/>
          <w:sz w:val="28"/>
          <w:szCs w:val="28"/>
          <w:vertAlign w:val="baseline"/>
        </w:rPr>
        <w:t xml:space="preserve">Betula pubescens </w:t>
      </w:r>
      <w:r w:rsidRPr="000A044F">
        <w:rPr>
          <w:b w:val="0"/>
          <w:sz w:val="28"/>
          <w:szCs w:val="28"/>
          <w:vertAlign w:val="baseline"/>
        </w:rPr>
        <w:t>- Береза пушистая). Коктерек (</w:t>
      </w:r>
      <w:r w:rsidRPr="000A044F">
        <w:rPr>
          <w:b w:val="0"/>
          <w:i/>
          <w:sz w:val="28"/>
          <w:szCs w:val="28"/>
          <w:vertAlign w:val="baseline"/>
        </w:rPr>
        <w:t>Populus tremula - Осина</w:t>
      </w:r>
      <w:r w:rsidRPr="000A044F">
        <w:rPr>
          <w:b w:val="0"/>
          <w:sz w:val="28"/>
          <w:szCs w:val="28"/>
          <w:vertAlign w:val="baseline"/>
        </w:rPr>
        <w:t>) Тал (</w:t>
      </w:r>
      <w:r w:rsidRPr="000A044F">
        <w:rPr>
          <w:b w:val="0"/>
          <w:i/>
          <w:sz w:val="28"/>
          <w:szCs w:val="28"/>
          <w:vertAlign w:val="baseline"/>
        </w:rPr>
        <w:t xml:space="preserve">Salix - </w:t>
      </w:r>
      <w:r w:rsidRPr="000A044F">
        <w:rPr>
          <w:b w:val="0"/>
          <w:sz w:val="28"/>
          <w:szCs w:val="28"/>
          <w:vertAlign w:val="baseline"/>
        </w:rPr>
        <w:t>ива) аралас.</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Дала аймағының ормандары жер рельефінің сай жерлерінде - қайың және көктерек және көктерек, ал құмды - борлы (песчана - боровая), алқаптарда - кәдімгі қарағай (</w:t>
      </w:r>
      <w:r w:rsidRPr="000A044F">
        <w:rPr>
          <w:b w:val="0"/>
          <w:i/>
          <w:sz w:val="28"/>
          <w:szCs w:val="28"/>
          <w:vertAlign w:val="baseline"/>
        </w:rPr>
        <w:t>Pinus silvestris</w:t>
      </w:r>
      <w:r w:rsidRPr="000A044F">
        <w:rPr>
          <w:b w:val="0"/>
          <w:sz w:val="28"/>
          <w:szCs w:val="28"/>
          <w:vertAlign w:val="baseline"/>
        </w:rPr>
        <w:t xml:space="preserve"> – сосна обыкновенная) өседі.</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lastRenderedPageBreak/>
        <w:t>Шөл аймағының ормадарын құрайтын негізінен Қара сексеуіл (</w:t>
      </w:r>
      <w:r w:rsidRPr="000A044F">
        <w:rPr>
          <w:b w:val="0"/>
          <w:i/>
          <w:sz w:val="28"/>
          <w:szCs w:val="28"/>
          <w:vertAlign w:val="baseline"/>
        </w:rPr>
        <w:t>Haloxylon appyllum</w:t>
      </w:r>
      <w:r w:rsidRPr="000A044F">
        <w:rPr>
          <w:b w:val="0"/>
          <w:sz w:val="28"/>
          <w:szCs w:val="28"/>
          <w:vertAlign w:val="baseline"/>
        </w:rPr>
        <w:t xml:space="preserve"> - саксаул безлистный және Ақ сексеуіл </w:t>
      </w:r>
      <w:r w:rsidRPr="000A044F">
        <w:rPr>
          <w:b w:val="0"/>
          <w:i/>
          <w:sz w:val="28"/>
          <w:szCs w:val="28"/>
          <w:vertAlign w:val="baseline"/>
        </w:rPr>
        <w:t>Haloxylon</w:t>
      </w:r>
      <w:r w:rsidRPr="000A044F">
        <w:rPr>
          <w:b w:val="0"/>
          <w:sz w:val="28"/>
          <w:szCs w:val="28"/>
          <w:vertAlign w:val="baseline"/>
        </w:rPr>
        <w:t xml:space="preserve"> </w:t>
      </w:r>
      <w:r w:rsidRPr="000A044F">
        <w:rPr>
          <w:b w:val="0"/>
          <w:i/>
          <w:sz w:val="28"/>
          <w:szCs w:val="28"/>
          <w:vertAlign w:val="baseline"/>
        </w:rPr>
        <w:t xml:space="preserve">persicum </w:t>
      </w:r>
      <w:r w:rsidRPr="000A044F">
        <w:rPr>
          <w:b w:val="0"/>
          <w:sz w:val="28"/>
          <w:szCs w:val="28"/>
          <w:vertAlign w:val="baseline"/>
        </w:rPr>
        <w:t>- саксаул персидский) Ол сексеуілдерден құралған ормандар ауданы 10 млн гектардан 5 млн гектарға дейін азайды.</w:t>
      </w:r>
    </w:p>
    <w:p w:rsidR="000A044F" w:rsidRPr="000A044F" w:rsidRDefault="000A044F" w:rsidP="000A044F">
      <w:pPr>
        <w:spacing w:after="0" w:line="240" w:lineRule="auto"/>
        <w:ind w:firstLine="709"/>
        <w:jc w:val="both"/>
        <w:rPr>
          <w:b w:val="0"/>
          <w:sz w:val="28"/>
          <w:szCs w:val="28"/>
          <w:vertAlign w:val="baseline"/>
        </w:rPr>
      </w:pPr>
      <w:r w:rsidRPr="000A044F">
        <w:rPr>
          <w:b w:val="0"/>
          <w:sz w:val="28"/>
          <w:szCs w:val="28"/>
          <w:vertAlign w:val="baseline"/>
        </w:rPr>
        <w:t>Тораңғыдан (түрлі жапырақты терек, тораңғыл (</w:t>
      </w:r>
      <w:r w:rsidRPr="000A044F">
        <w:rPr>
          <w:b w:val="0"/>
          <w:i/>
          <w:sz w:val="28"/>
          <w:szCs w:val="28"/>
          <w:vertAlign w:val="baseline"/>
        </w:rPr>
        <w:t xml:space="preserve">Populus diversifolia </w:t>
      </w:r>
      <w:r w:rsidRPr="000A044F">
        <w:rPr>
          <w:b w:val="0"/>
          <w:sz w:val="28"/>
          <w:szCs w:val="28"/>
          <w:vertAlign w:val="baseline"/>
        </w:rPr>
        <w:t>- Тополь разнолистный), Тораңғылдан (</w:t>
      </w:r>
      <w:r w:rsidRPr="000A044F">
        <w:rPr>
          <w:b w:val="0"/>
          <w:i/>
          <w:sz w:val="28"/>
          <w:szCs w:val="28"/>
          <w:vertAlign w:val="baseline"/>
        </w:rPr>
        <w:t xml:space="preserve">Populus prininosa </w:t>
      </w:r>
      <w:r w:rsidRPr="000A044F">
        <w:rPr>
          <w:b w:val="0"/>
          <w:sz w:val="28"/>
          <w:szCs w:val="28"/>
          <w:vertAlign w:val="baseline"/>
        </w:rPr>
        <w:t>- тополь сизолистый), (</w:t>
      </w:r>
      <w:r w:rsidRPr="000A044F">
        <w:rPr>
          <w:b w:val="0"/>
          <w:i/>
          <w:sz w:val="28"/>
          <w:szCs w:val="28"/>
          <w:vertAlign w:val="baseline"/>
        </w:rPr>
        <w:t>Populus</w:t>
      </w:r>
      <w:r w:rsidRPr="000A044F">
        <w:rPr>
          <w:b w:val="0"/>
          <w:sz w:val="28"/>
          <w:szCs w:val="28"/>
          <w:vertAlign w:val="baseline"/>
        </w:rPr>
        <w:t xml:space="preserve"> </w:t>
      </w:r>
      <w:r w:rsidRPr="000A044F">
        <w:rPr>
          <w:b w:val="0"/>
          <w:i/>
          <w:sz w:val="28"/>
          <w:szCs w:val="28"/>
          <w:vertAlign w:val="baseline"/>
        </w:rPr>
        <w:t xml:space="preserve">Talassica </w:t>
      </w:r>
      <w:r w:rsidRPr="000A044F">
        <w:rPr>
          <w:b w:val="0"/>
          <w:sz w:val="28"/>
          <w:szCs w:val="28"/>
          <w:vertAlign w:val="baseline"/>
        </w:rPr>
        <w:t xml:space="preserve">- </w:t>
      </w:r>
      <w:r w:rsidRPr="000A044F">
        <w:rPr>
          <w:rFonts w:eastAsia="Arial Unicode MS"/>
          <w:b w:val="0"/>
          <w:sz w:val="28"/>
          <w:szCs w:val="28"/>
          <w:vertAlign w:val="baseline"/>
          <w:lang w:eastAsia="ko-KR"/>
        </w:rPr>
        <w:t xml:space="preserve">Таласс терегі) </w:t>
      </w:r>
      <w:r w:rsidRPr="000A044F">
        <w:rPr>
          <w:b w:val="0"/>
          <w:sz w:val="28"/>
          <w:szCs w:val="28"/>
          <w:vertAlign w:val="baseline"/>
        </w:rPr>
        <w:t>жидеден (</w:t>
      </w:r>
      <w:r w:rsidRPr="000A044F">
        <w:rPr>
          <w:b w:val="0"/>
          <w:i/>
          <w:sz w:val="28"/>
          <w:szCs w:val="28"/>
          <w:vertAlign w:val="baseline"/>
        </w:rPr>
        <w:t>Elaeagnus angustifolia</w:t>
      </w:r>
      <w:r w:rsidRPr="000A044F">
        <w:rPr>
          <w:b w:val="0"/>
          <w:sz w:val="28"/>
          <w:szCs w:val="28"/>
          <w:vertAlign w:val="baseline"/>
        </w:rPr>
        <w:t>) құралған тоғайлы ормандар өзендер бойында тар алқапта өседі. Олардың едәуір массивтері дегредацияға ұшыраған (нашарлаған)</w:t>
      </w:r>
    </w:p>
    <w:p w:rsidR="000A044F" w:rsidRPr="000A044F" w:rsidRDefault="000A044F" w:rsidP="000A044F">
      <w:pPr>
        <w:pStyle w:val="a6"/>
        <w:ind w:firstLine="709"/>
        <w:rPr>
          <w:szCs w:val="28"/>
        </w:rPr>
      </w:pPr>
      <w:r w:rsidRPr="000A044F">
        <w:rPr>
          <w:szCs w:val="28"/>
        </w:rPr>
        <w:t>Қазақстан тауларындағы ормандарға келетін болсақ. Алтай, Солтүстік Тянь-Шань, Жоңғар Алатауы ормандары едәуір биологиялық алуан түрлілікпен сипатталды. Алтай тауының төменгі алқаптарында жапырақты ормандар (</w:t>
      </w:r>
      <w:r w:rsidRPr="000A044F">
        <w:rPr>
          <w:i/>
          <w:szCs w:val="28"/>
        </w:rPr>
        <w:t xml:space="preserve">Betula - </w:t>
      </w:r>
      <w:r w:rsidRPr="000A044F">
        <w:rPr>
          <w:szCs w:val="28"/>
        </w:rPr>
        <w:t>қайың,</w:t>
      </w:r>
      <w:r w:rsidRPr="000A044F">
        <w:rPr>
          <w:i/>
          <w:szCs w:val="28"/>
        </w:rPr>
        <w:t xml:space="preserve"> Populus tremula -</w:t>
      </w:r>
      <w:r w:rsidRPr="000A044F">
        <w:rPr>
          <w:szCs w:val="28"/>
        </w:rPr>
        <w:t xml:space="preserve"> көктерек (осина) өседі. Сібір самырсыны (</w:t>
      </w:r>
      <w:r w:rsidRPr="000A044F">
        <w:rPr>
          <w:i/>
          <w:szCs w:val="28"/>
        </w:rPr>
        <w:t xml:space="preserve">Abies sibirica </w:t>
      </w:r>
      <w:r w:rsidRPr="000A044F">
        <w:rPr>
          <w:szCs w:val="28"/>
        </w:rPr>
        <w:t>- пихта сибирская) молырақ таралған. Жеке учаскелерде самырсын қарағайы (</w:t>
      </w:r>
      <w:r w:rsidRPr="000A044F">
        <w:rPr>
          <w:i/>
          <w:szCs w:val="28"/>
        </w:rPr>
        <w:t>Pinus sibirica</w:t>
      </w:r>
      <w:r w:rsidRPr="000A044F">
        <w:rPr>
          <w:szCs w:val="28"/>
        </w:rPr>
        <w:t xml:space="preserve"> – Сосна кедровая), Сібір балқарағайы (</w:t>
      </w:r>
      <w:r w:rsidRPr="000A044F">
        <w:rPr>
          <w:i/>
          <w:szCs w:val="28"/>
        </w:rPr>
        <w:t xml:space="preserve">Larix sibirica </w:t>
      </w:r>
      <w:r w:rsidRPr="000A044F">
        <w:rPr>
          <w:szCs w:val="28"/>
        </w:rPr>
        <w:t>- лиственница сибирская) араларында өседі, азда болса Сібір шыршасыда (</w:t>
      </w:r>
      <w:r w:rsidRPr="000A044F">
        <w:rPr>
          <w:i/>
          <w:szCs w:val="28"/>
        </w:rPr>
        <w:t xml:space="preserve">Picea obovata </w:t>
      </w:r>
      <w:r w:rsidRPr="000A044F">
        <w:rPr>
          <w:szCs w:val="28"/>
        </w:rPr>
        <w:t>- Ель cибирская) кездеседі.</w:t>
      </w:r>
    </w:p>
    <w:p w:rsidR="000A044F" w:rsidRPr="000A044F" w:rsidRDefault="000A044F" w:rsidP="000A044F">
      <w:pPr>
        <w:pStyle w:val="a4"/>
        <w:ind w:firstLine="709"/>
        <w:rPr>
          <w:rFonts w:ascii="Times New Roman" w:hAnsi="Times New Roman"/>
          <w:szCs w:val="28"/>
          <w:lang w:val="kk-KZ"/>
        </w:rPr>
      </w:pPr>
      <w:r w:rsidRPr="000A044F">
        <w:rPr>
          <w:rFonts w:ascii="Times New Roman" w:hAnsi="Times New Roman"/>
          <w:szCs w:val="28"/>
          <w:lang w:val="kk-KZ"/>
        </w:rPr>
        <w:t>Солтүстік Тянь-Шань және Жоңғар Алатауындағы ормандарда биологиялық алуан түрлілігімен ерекшеленеді. Бұл таулардың төменгі белдеулерінде Семенов үйеңкісінің (</w:t>
      </w:r>
      <w:r w:rsidRPr="000A044F">
        <w:rPr>
          <w:rFonts w:ascii="Times New Roman" w:hAnsi="Times New Roman"/>
          <w:i/>
          <w:szCs w:val="28"/>
          <w:lang w:val="kk-KZ"/>
        </w:rPr>
        <w:t xml:space="preserve">Acer Semenovii </w:t>
      </w:r>
      <w:r w:rsidRPr="000A044F">
        <w:rPr>
          <w:rFonts w:ascii="Times New Roman" w:hAnsi="Times New Roman"/>
          <w:szCs w:val="28"/>
          <w:lang w:val="kk-KZ"/>
        </w:rPr>
        <w:t>- клен Семенова) фрагменттерін көруге болады. Жоғарырақ Сиверс алмасы (</w:t>
      </w:r>
      <w:r w:rsidRPr="000A044F">
        <w:rPr>
          <w:rFonts w:ascii="Times New Roman" w:hAnsi="Times New Roman"/>
          <w:i/>
          <w:szCs w:val="28"/>
          <w:lang w:val="kk-KZ"/>
        </w:rPr>
        <w:t>Malus sieversii</w:t>
      </w:r>
      <w:r w:rsidRPr="000A044F">
        <w:rPr>
          <w:rFonts w:ascii="Times New Roman" w:hAnsi="Times New Roman"/>
          <w:szCs w:val="28"/>
          <w:lang w:val="kk-KZ"/>
        </w:rPr>
        <w:t>-яблоня Сиверса), Жоңғар доланасы (</w:t>
      </w:r>
      <w:r w:rsidRPr="000A044F">
        <w:rPr>
          <w:rFonts w:ascii="Times New Roman" w:hAnsi="Times New Roman"/>
          <w:i/>
          <w:szCs w:val="28"/>
          <w:lang w:val="kk-KZ"/>
        </w:rPr>
        <w:t xml:space="preserve">Crataegus songorica </w:t>
      </w:r>
      <w:r w:rsidRPr="000A044F">
        <w:rPr>
          <w:rFonts w:ascii="Times New Roman" w:hAnsi="Times New Roman"/>
          <w:szCs w:val="28"/>
          <w:lang w:val="kk-KZ"/>
        </w:rPr>
        <w:t>- Боярышник кровавокрасный) және көктерек (</w:t>
      </w:r>
      <w:r w:rsidRPr="000A044F">
        <w:rPr>
          <w:rFonts w:ascii="Times New Roman" w:hAnsi="Times New Roman"/>
          <w:i/>
          <w:szCs w:val="28"/>
          <w:lang w:val="kk-KZ"/>
        </w:rPr>
        <w:t>Populus tremula</w:t>
      </w:r>
      <w:r w:rsidRPr="000A044F">
        <w:rPr>
          <w:rFonts w:ascii="Times New Roman" w:hAnsi="Times New Roman"/>
          <w:szCs w:val="28"/>
          <w:lang w:val="kk-KZ"/>
        </w:rPr>
        <w:t xml:space="preserve"> - Осина) өседі.</w:t>
      </w:r>
      <w:r w:rsidRPr="000A044F">
        <w:rPr>
          <w:rFonts w:ascii="Times New Roman" w:hAnsi="Times New Roman"/>
          <w:szCs w:val="28"/>
          <w:lang w:val="kk-KZ"/>
        </w:rPr>
        <w:t xml:space="preserve"> </w:t>
      </w:r>
      <w:r w:rsidRPr="000A044F">
        <w:rPr>
          <w:rFonts w:ascii="Times New Roman" w:hAnsi="Times New Roman"/>
          <w:szCs w:val="28"/>
          <w:lang w:val="kk-KZ"/>
        </w:rPr>
        <w:t>Өзен суларының тартылуына байланысты көп жерлерде шабындықтар деградацияға ұшырап жойылуда.</w:t>
      </w:r>
    </w:p>
    <w:p w:rsidR="000A044F" w:rsidRPr="000A044F" w:rsidRDefault="000A044F" w:rsidP="000A044F">
      <w:pPr>
        <w:pStyle w:val="a6"/>
        <w:ind w:firstLine="709"/>
        <w:rPr>
          <w:szCs w:val="28"/>
        </w:rPr>
      </w:pPr>
    </w:p>
    <w:p w:rsidR="00F20A8F" w:rsidRDefault="00F20A8F" w:rsidP="00F20A8F">
      <w:pPr>
        <w:jc w:val="center"/>
        <w:rPr>
          <w:sz w:val="28"/>
          <w:szCs w:val="28"/>
          <w:vertAlign w:val="baseline"/>
        </w:rPr>
      </w:pPr>
      <w:r w:rsidRPr="00F65E73">
        <w:rPr>
          <w:sz w:val="28"/>
          <w:szCs w:val="28"/>
          <w:vertAlign w:val="baseline"/>
        </w:rPr>
        <w:t xml:space="preserve">15 дәріс </w:t>
      </w:r>
      <w:r w:rsidRPr="00F65E73">
        <w:rPr>
          <w:sz w:val="28"/>
          <w:szCs w:val="28"/>
          <w:vertAlign w:val="baseline"/>
        </w:rPr>
        <w:t>Генетикалық сақтау ex situ ресурстары.</w:t>
      </w:r>
    </w:p>
    <w:p w:rsidR="000A044F" w:rsidRPr="00F65E73" w:rsidRDefault="000A044F" w:rsidP="000A044F">
      <w:pPr>
        <w:jc w:val="both"/>
        <w:rPr>
          <w:b w:val="0"/>
          <w:sz w:val="28"/>
          <w:szCs w:val="28"/>
          <w:vertAlign w:val="baseline"/>
        </w:rPr>
      </w:pPr>
      <w:r w:rsidRPr="000A044F">
        <w:rPr>
          <w:b w:val="0"/>
          <w:sz w:val="28"/>
          <w:szCs w:val="28"/>
          <w:vertAlign w:val="baseline"/>
        </w:rPr>
        <w:t xml:space="preserve">Ex situ сақтау сөзбе-сөз "сайттан тыс сақтау"дегенді білдіреді. Бұл жойылып кету қаупі төнген түрлерді, Өсімдіктердің немесе жануарлардың сорттарын немесе тұқымдарын олардың табиғи мекендеу ортасынан тыс қорғау процесі; мысалы, популяцияның бір бөлігін қауіп төнген тіршілік ету ортасынан алып тастау және оны жаңа жерге, тиісті жануардың табиғи мекендеу ортасына ұқсас және зоологиялық тіршілік ету ортасы сияқты адамдардың қамқорлығында болатын жасанды ортаға орналастыру арқылы. саябақтар мен жабайы табиғат қорықтары. Адамдардың басқарылатын популяцияның табиғи динамикасын бақылау немесе өзгерту дәрежесі кең ауқымда өзгереді және бұл өмір сүру жағдайларын, көбею үлгілерін, ресурстарға қол жеткізуді және жыртқыштық пен өлімнен қорғауды Өзгертуді қамтуы мүмкін. Басқаруех situ түрдің табиғи географиялық ауқымында немесе одан тыс жерлерде жүзеге асырылуы мүмкін. Ex situ қолдайтын адамдар экологиялық тауашадан тыс жерде болады. Бұл олардың жабайы популяциялар сияқты іріктеу қысымына ұшырамайтынын және ex situ ұрпақтар бойы сақталса, жасанды іріктеуге ұшырауы мүмкін дегенді білдіреді. Ауылшаруашылық биоалуантүрлілігі ex </w:t>
      </w:r>
      <w:r w:rsidRPr="000A044F">
        <w:rPr>
          <w:b w:val="0"/>
          <w:sz w:val="28"/>
          <w:szCs w:val="28"/>
          <w:vertAlign w:val="baseline"/>
        </w:rPr>
        <w:lastRenderedPageBreak/>
        <w:t>situ коллекцияларында да сақталады. Бұл, ең алдымен, негізгі мәдени өсімдіктер мен олардың жабайы туыстарының генетикалық ресурстарын сақтау мақсатында үлгілер сақталатын генобанктер түрінде.</w:t>
      </w:r>
    </w:p>
    <w:sectPr w:rsidR="000A044F" w:rsidRPr="00F6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6BFB"/>
    <w:multiLevelType w:val="multilevel"/>
    <w:tmpl w:val="6BA0375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3A"/>
    <w:rsid w:val="000A044F"/>
    <w:rsid w:val="0055103A"/>
    <w:rsid w:val="006D17A7"/>
    <w:rsid w:val="00832FF8"/>
    <w:rsid w:val="00CA1AB0"/>
    <w:rsid w:val="00E42698"/>
    <w:rsid w:val="00F20A8F"/>
    <w:rsid w:val="00F65E7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4B299"/>
  <w15:chartTrackingRefBased/>
  <w15:docId w15:val="{970CF41F-B7EE-410D-94FA-B8755D1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vertAlign w:val="superscript"/>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A044F"/>
    <w:pPr>
      <w:keepNext/>
      <w:spacing w:after="0" w:line="240" w:lineRule="auto"/>
      <w:jc w:val="center"/>
      <w:outlineLvl w:val="1"/>
    </w:pPr>
    <w:rPr>
      <w:rFonts w:eastAsia="Times New Roman"/>
      <w:sz w:val="28"/>
      <w:szCs w:val="20"/>
      <w:vertAlign w:val="baseline"/>
      <w:lang w:eastAsia="ru-RU"/>
    </w:rPr>
  </w:style>
  <w:style w:type="paragraph" w:styleId="3">
    <w:name w:val="heading 3"/>
    <w:basedOn w:val="a"/>
    <w:next w:val="a"/>
    <w:link w:val="30"/>
    <w:qFormat/>
    <w:rsid w:val="000A044F"/>
    <w:pPr>
      <w:keepNext/>
      <w:spacing w:after="0" w:line="240" w:lineRule="auto"/>
      <w:ind w:firstLine="720"/>
      <w:jc w:val="both"/>
      <w:outlineLvl w:val="2"/>
    </w:pPr>
    <w:rPr>
      <w:rFonts w:ascii="Kz Times New Roman" w:eastAsia="Arial Unicode MS" w:hAnsi="Kz Times New Roman"/>
      <w:sz w:val="28"/>
      <w:szCs w:val="20"/>
      <w:vertAlign w:val="baseline"/>
      <w:lang w:val="ru-MD" w:eastAsia="ko-KR"/>
    </w:rPr>
  </w:style>
  <w:style w:type="paragraph" w:styleId="4">
    <w:name w:val="heading 4"/>
    <w:basedOn w:val="a"/>
    <w:next w:val="a"/>
    <w:link w:val="40"/>
    <w:qFormat/>
    <w:rsid w:val="000A044F"/>
    <w:pPr>
      <w:keepNext/>
      <w:spacing w:after="0" w:line="240" w:lineRule="auto"/>
      <w:ind w:left="720"/>
      <w:jc w:val="center"/>
      <w:outlineLvl w:val="3"/>
    </w:pPr>
    <w:rPr>
      <w:rFonts w:ascii="Kz Times New Roman" w:eastAsia="Arial Unicode MS" w:hAnsi="Kz Times New Roman"/>
      <w:sz w:val="28"/>
      <w:szCs w:val="20"/>
      <w:vertAlign w:val="baseline"/>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A8F"/>
    <w:pPr>
      <w:ind w:left="720"/>
      <w:contextualSpacing/>
    </w:pPr>
  </w:style>
  <w:style w:type="character" w:customStyle="1" w:styleId="20">
    <w:name w:val="Заголовок 2 Знак"/>
    <w:basedOn w:val="a0"/>
    <w:link w:val="2"/>
    <w:rsid w:val="000A044F"/>
    <w:rPr>
      <w:rFonts w:eastAsia="Times New Roman"/>
      <w:sz w:val="28"/>
      <w:szCs w:val="20"/>
      <w:vertAlign w:val="baseline"/>
      <w:lang w:eastAsia="ru-RU"/>
    </w:rPr>
  </w:style>
  <w:style w:type="character" w:customStyle="1" w:styleId="30">
    <w:name w:val="Заголовок 3 Знак"/>
    <w:basedOn w:val="a0"/>
    <w:link w:val="3"/>
    <w:rsid w:val="000A044F"/>
    <w:rPr>
      <w:rFonts w:ascii="Kz Times New Roman" w:eastAsia="Arial Unicode MS" w:hAnsi="Kz Times New Roman"/>
      <w:sz w:val="28"/>
      <w:szCs w:val="20"/>
      <w:vertAlign w:val="baseline"/>
      <w:lang w:val="ru-MD" w:eastAsia="ko-KR"/>
    </w:rPr>
  </w:style>
  <w:style w:type="character" w:customStyle="1" w:styleId="40">
    <w:name w:val="Заголовок 4 Знак"/>
    <w:basedOn w:val="a0"/>
    <w:link w:val="4"/>
    <w:rsid w:val="000A044F"/>
    <w:rPr>
      <w:rFonts w:ascii="Kz Times New Roman" w:eastAsia="Arial Unicode MS" w:hAnsi="Kz Times New Roman"/>
      <w:sz w:val="28"/>
      <w:szCs w:val="20"/>
      <w:vertAlign w:val="baseline"/>
      <w:lang w:val="ru-MD" w:eastAsia="ko-KR"/>
    </w:rPr>
  </w:style>
  <w:style w:type="paragraph" w:styleId="a4">
    <w:name w:val="Body Text Indent"/>
    <w:basedOn w:val="a"/>
    <w:link w:val="a5"/>
    <w:rsid w:val="000A044F"/>
    <w:pPr>
      <w:spacing w:after="0" w:line="240" w:lineRule="auto"/>
      <w:ind w:firstLine="720"/>
      <w:jc w:val="both"/>
    </w:pPr>
    <w:rPr>
      <w:rFonts w:ascii="Kz Times New Roman" w:eastAsia="Arial Unicode MS" w:hAnsi="Kz Times New Roman"/>
      <w:b w:val="0"/>
      <w:sz w:val="28"/>
      <w:szCs w:val="20"/>
      <w:vertAlign w:val="baseline"/>
      <w:lang w:val="ru-MD" w:eastAsia="ko-KR"/>
    </w:rPr>
  </w:style>
  <w:style w:type="character" w:customStyle="1" w:styleId="a5">
    <w:name w:val="Основной текст с отступом Знак"/>
    <w:basedOn w:val="a0"/>
    <w:link w:val="a4"/>
    <w:rsid w:val="000A044F"/>
    <w:rPr>
      <w:rFonts w:ascii="Kz Times New Roman" w:eastAsia="Arial Unicode MS" w:hAnsi="Kz Times New Roman"/>
      <w:b w:val="0"/>
      <w:sz w:val="28"/>
      <w:szCs w:val="20"/>
      <w:vertAlign w:val="baseline"/>
      <w:lang w:val="ru-MD" w:eastAsia="ko-KR"/>
    </w:rPr>
  </w:style>
  <w:style w:type="paragraph" w:styleId="a6">
    <w:name w:val="Body Text"/>
    <w:basedOn w:val="a"/>
    <w:link w:val="a7"/>
    <w:rsid w:val="000A044F"/>
    <w:pPr>
      <w:spacing w:after="0" w:line="240" w:lineRule="auto"/>
      <w:jc w:val="both"/>
    </w:pPr>
    <w:rPr>
      <w:rFonts w:eastAsia="Times New Roman"/>
      <w:b w:val="0"/>
      <w:sz w:val="28"/>
      <w:szCs w:val="20"/>
      <w:vertAlign w:val="baseline"/>
      <w:lang w:eastAsia="ru-RU"/>
    </w:rPr>
  </w:style>
  <w:style w:type="character" w:customStyle="1" w:styleId="a7">
    <w:name w:val="Основной текст Знак"/>
    <w:basedOn w:val="a0"/>
    <w:link w:val="a6"/>
    <w:rsid w:val="000A044F"/>
    <w:rPr>
      <w:rFonts w:eastAsia="Times New Roman"/>
      <w:b w:val="0"/>
      <w:sz w:val="28"/>
      <w:szCs w:val="20"/>
      <w:vertAlign w:val="baseli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5692</Words>
  <Characters>32446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2023-09-26T04:13:00Z</dcterms:created>
  <dcterms:modified xsi:type="dcterms:W3CDTF">2023-09-26T04:54:00Z</dcterms:modified>
</cp:coreProperties>
</file>